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4A_200/2012 vom 31. Juli 2012</w:t>
      </w:r>
    </w:p>
    <w:p>
      <w:r>
        <w:t>Bundesgericht, 2012-07-31, FR</w:t>
      </w:r>
    </w:p>
    <w:p>
      <w:r>
        <w:rPr>
          <w:b/>
        </w:rPr>
        <w:t xml:space="preserve">Quelle: </w:t>
      </w:r>
      <w:r>
        <w:t>https://mcp.opencaselaw.ch/entscheid/bger_4A_200_2012</w:t>
      </w:r>
    </w:p>
    <w:p>
      <w:r>
        <w:t>FR: TF 4A_200/2012 du 31 juillet 2012</w:t>
      </w:r>
    </w:p>
    <w:p>
      <w:r>
        <w:t>IT: TF 4A_200/2012 del 31 luglio 2012</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fixé par l' art. 74 al. 1 let. b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 droit fédéral ( art. 95 let. a LTF ), soit en l'occurrence de l' art. 33 LCA .</w:t>
      </w:r>
    </w:p>
    <w:p>
      <w:r>
        <w:t>Le Tribunal fédéral applique d'office le droit dont il peut contrôler le respect ( art. 106 al. 1 LTF ). Il n'est pas limité ni par les arguments soulevés dans le recours, ni par la motivation retenue par l'autorité précédente; il peut donc admettre un recours pour d'autres motifs que ceux qui ont été invoqués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58 consid. 4.1.2 p. 62; 137 II 353 consid. 5.1 p. 356) - ou en violation du droit au sens de l' art. 95 LTF ( art. 105 al. 2 LTF ).</w:t>
      </w:r>
    </w:p>
    <w:p>
      <w:r>
        <w:t>Il peut notamment compléter les constatations cantonales lorsqu'un fait pertinent, qui a été omis dans la décision attaquée, résulte à l'évidence des preuves apportées ( ATF 136 II 5 consid. 2.4 p. 11; 135 II 369 consid. 3.1 p. 373).</w:t>
      </w:r>
    </w:p>
    <w:p>
      <w:r>
        <w:t>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son propre état de fait, mais sans invoquer avec précision l'une des exceptions prévues par l' art. 105 al. 2 LTF . Il n'y a donc pas lieu de tenir compte de sa version des faits.</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rPr>
          <w:b/>
        </w:rPr>
        <w:t>E. 2.1</w:t>
      </w:r>
    </w:p>
    <w:p>
      <w:r>
        <w:t>Il résulte des constatations cantonales - qui lient le Tribunal fédéral ( art. 105 al. 1 LTF ) - que les parties sont convenues que l'intimée fournirait une prestation pécuniaire en cas de survenance d'un événement présentant un aspect aléatoire, moyennant le paiement de primes que le recourant s'est obligé à lui payer. Il n'est donc pas douteux que les parties ont conclu un contrat d'assurance relevant du droit privé, qui est régi par la LCA.</w:t>
      </w:r>
    </w:p>
    <w:p>
      <w:r>
        <w:t>Le contrat conclu prévoit notamment que l'intimée couvrira le dommage subi par le recourant en cas d'incendie du bateau jusqu'à concurrence de la somme assurée. Il s'agit d'une assurance contre les dommages ( art. 48 ss LCA ), qui se caractérise plus précisément comme une assurance des choses, puisqu'elle couvre une chose déterminée (un bateau) contre le risque qu'elle soit, notamment par l'incendie, détruite ou détériorée.</w:t>
      </w:r>
    </w:p>
    <w:p>
      <w:r>
        <w:rPr>
          <w:b/>
        </w:rPr>
        <w:t>E. 2.2</w:t>
      </w:r>
    </w:p>
    <w:p>
      <w:r>
        <w:t>La police d'assurance produite mentionne parmi les événements assurés le risque de l'incendie et prévoit par ailleurs l'application des conditions générales d'assurance "Bateaux, édition 12.06"; ces conditions générales, également produites, précisent, à leur art. C 1.21 que l'assurance incendie couvre contre les dommages causés par le feu, l'explosion et la foudre (complètement d'office: art. 105 al. 2 LTF ).</w:t>
      </w:r>
    </w:p>
    <w:p>
      <w:r>
        <w:t>Il ressort des constatations cantonales déterminantes qu'une explosion s'est produite à bord le 27 décembre 2007 et que le bateau a été détruit. En conséquence, le sinistre assuré s'est produit, ce qui entraîne en principe l'obligation pour l'intimée de payer la prestation d'assurance.</w:t>
      </w:r>
    </w:p>
    <w:p>
      <w:r>
        <w:t>Les juridictions cantonales ont cependant débouté le recourant, en considérant que l'on se trouvait dans le cas d'exclusion prévu par l'art. C 4.1 des CGA, dont la teneur est la suivante:</w:t>
      </w:r>
    </w:p>
    <w:p>
      <w:r>
        <w:t>" Ne sont pas assurés:</w:t>
      </w:r>
    </w:p>
    <w:p>
      <w:r>
        <w:t>1. Les dommages sans caractère accidentel (dommages dus à l'utilisation du bateau), en particulier les dommages sans influence extérieure violente ou imputables à un défaut interne (par ex. absence ou gel de liquides, erreur de manipulation, défaut et usure du matériel, usure, contrainte excessive, panne de composants électriques et électroniques), surchauffe du moteur et dommages (gonflement) subis par les bateaux en bois quand ils restent longtemps dans l'eau".</w:t>
      </w:r>
    </w:p>
    <w:p>
      <w:r>
        <w:rPr>
          <w:b/>
        </w:rPr>
        <w:t>E. 2.3</w:t>
      </w:r>
    </w:p>
    <w:p>
      <w:r>
        <w:t>Le litige porte sur l'interprétation de cette clause incorporée dans le contrat conclu.</w:t>
      </w:r>
    </w:p>
    <w:p>
      <w:r>
        <w:t>Les conditions générales d'assurance qui ont été expressément incorporées au contrat doivent être interprétées selon les mêmes principes juridiques que les autres dispositions contractuelles ( ATF 135 III 1 consid. 2 p. 6; 133 III 675 consid. 3.3 p. 681).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(ce qui est le cas en l'espèce)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 art. 106 al. 1 LTF ); cependant, pour trancher cette question, il doit se fonder sur le contenu de la manifestation de volonté et sur les circonstances, dont la constatation relève du fait ( ATF 135 III 410 consid. 3.2 p. 412 s.).</w:t>
      </w:r>
    </w:p>
    <w:p>
      <w:r>
        <w:t>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n'exclut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 ATF 133 III 675 consid. 3.3 p. 682; sous une forme résumée: ATF 135 III 410 consid. 3.2 p. 413). La validité d'une clause contenue dans des conditions générales est de surcroît limitée par la règle de la clause insolite ( ATF 135 III 1 consid. 2.1 p. 7).</w:t>
      </w:r>
    </w:p>
    <w:p>
      <w:r>
        <w:rPr>
          <w:b/>
        </w:rPr>
        <w:t>E. 2.4</w:t>
      </w:r>
    </w:p>
    <w:p>
      <w:r>
        <w:t>La clause dont l'interprétation est litigieuse exclut de l'assurance les dommages sans caractère accidentel; la parenthèse précise l'idée en disant que l'on vise ainsi les dommages dus à l'utilisation du bateau; la suite de la disposition ne fait qu'expliciter l'idée, mais non pas la modifier comme le montre l'emploi du terme "en particulier".</w:t>
      </w:r>
    </w:p>
    <w:p>
      <w:r>
        <w:t>La notion d'accident est bien connue en droit des assurances. On en trouve une définition, pour les accidents de nature corporelle, à l'art. 4 de la loi fédérale du 6 octobre 2000 sur la partie générale du droit des assurances sociales (LPGA; RS 830.1). Les caractéristiques de l'accident qui en résultent sont également admises dans la jurisprudence de droit privé (cf. par ex. arrêt 5C.18/2006 du 18 octobre 2006 consid. 2.2, SJ 2007 I p. 238). Ainsi, l'accident se définit comme un événement soudain, involontaire, extérieur et extraordinaire. Selon les constatations cantonales, une personne proche de l'utilisateur du bateau, désirant savoir si celui-ci était occupé par des squatters, s'est rendue à bord en pleine nuit et, pour s'éclairer dans la cabine, a allumé son briquet, ce qui a provoqué instantanément l'explosion d'une poche de gaz dont personne ne connaissait la présence. On ne saurait nier la soudaineté de l'explosion. Il n'est pas douteux - selon l'état de fait retenu - que l'explosion est survenue indépendamment de la volonté de l'assuré. La venue de cette personne qui allumait son briquet est évidemment extérieure à l'existence même du bateau. On ne peut non plus nier le caractère extraordinaire des événements, qui sort manifestement du cadre de l'utilisation normale du bateau; il est tout à fait insolite qu'une personne s'éclaire dans un bateau à l'aide d'un briquet et qu'il y ait simultanément une fuite de gaz dont on ignore d'ailleurs l'origine exacte. Ainsi, il est manifeste que l'on se trouve en présence d'un accident et non pas d'un dommage sans caractère accidentel au sens de l'art. C 4.1 des CGA.</w:t>
      </w:r>
    </w:p>
    <w:p>
      <w:r>
        <w:t>La disposition litigieuse précise ensuite l'idée en présentant deux alternatives, à savoir un dommage sans influence extérieure violente ou un dommage imputable à un défaut interne.</w:t>
      </w:r>
    </w:p>
    <w:p>
      <w:r>
        <w:t>Il est manifeste qu'il y a eu une influence extérieure, à savoir l'irruption de la personne qui a allumé le briquet. Le caractère violent résulte de l'explosion qui s'en est suivie. On ne saurait d'ailleurs interpréter la notion de violence d'une manière plus restrictive, faute de quoi l'assurance incendie perdrait sa substance; en effet, si un pyromane, après avoir pris les dispositions nécessaires, allume tranquillement le feu, on ne peut pas retenir que le cas est exclu de l'assurance au motif que l'allumage n'est pas un acte violent.</w:t>
      </w:r>
    </w:p>
    <w:p>
      <w:r>
        <w:t>Le dommage imputable à un défaut interne (second terme de l'alternative) est une notion beaucoup plus vague, raison pour laquelle la disposition l'explicite par un grand nombre d'exemples. Les exemples cités montrent d'ailleurs que la clause ne vise pas seulement l'hypothèse d'un court-circuit, contrairement à ce que soutient le recourant. Or il apparaît d'emblée qu'aucun des cas énumérés n'entre en ligne de compte. Ces cas visent tous l'utilisation normale d'un bateau, et non pas l'hypothèse où une personne se rend de nuit dans une embarcation, y allume un briquet pour s'éclairer (au lieu d'utiliser l'éclairage) et provoque ainsi une explosion en raison d'une fuite de gaz.</w:t>
      </w:r>
    </w:p>
    <w:p>
      <w:r>
        <w:t>On ne se trouve donc pas dans un cas où l'assurance est exclue en application de l'art. C 4.1 des CGA.</w:t>
      </w:r>
    </w:p>
    <w:p>
      <w:r>
        <w:t>L'idée avancée par la cour cantonale selon laquelle l'explosion serait survenue de toute manière, indépendamment de l'épisode du briquet, ne trouve aucun point d'appui dans les preuves apportées. On ne voit pas pourquoi il serait exclu qu'une personne, arrivant de jour et aérant les locaux, ait pu éviter l'explosion, étant observé que l'ampleur de la poche de gaz n'a pas pu être établie. On ne sait non plus si la présence du gaz aurait pu être détectée et la poche éliminée par des spécialistes.</w:t>
      </w:r>
    </w:p>
    <w:p>
      <w:r>
        <w:t>Certes, la cour cantonale s'est employée à démontrer que l'équipement du bateau était défectueux, sans toutefois que cela puisse expliquer l'origine de la fuite de gaz, ni ne soit en rapport avec l'allumage du briquet. On ne saurait cependant admettre, à la lecture de l'art. C 4.1, que la prestation d'assurance est exclue dès qu'un défaut du bateau a contribué à causer le dommage. Une telle restriction, qui diminuerait considérablement la portée de l'assurance incendie, ne résulte pas du texte de la clause citée et ne peut donc pas être retenue sans violer l' art. 33 LCA .</w:t>
      </w:r>
    </w:p>
    <w:p>
      <w:r>
        <w:rPr>
          <w:b/>
        </w:rPr>
        <w:t>E. 2.5</w:t>
      </w:r>
    </w:p>
    <w:p>
      <w:r>
        <w:t>A titre subsidiaire, l'intimée invoque l'art. C 4.2 des CGA, qui exclut les dommages survenus progressivement. Il apparaît cependant d'emblée, comme on l'a vu, que l'explosion qui s'est produite en l'espèce revêtait un caractère soudain, ce qui exclut ipso facto que le dommage soit survenu peu à peu.</w:t>
      </w:r>
    </w:p>
    <w:p>
      <w:r>
        <w:t>Selon les constatations cantonales - qui lient le Tribunal fédéral ( art. 105 al. 1 LTF ) -, la personne est montée à bord pour s'assurer qu'il n'y avait pas de squatters et elle a allumé son briquet pour s'éclairer, ignorant la présence d'une poche de gaz. Cette description des faits exclut que l'assuré ait causé intentionnellement le sinistre ( art. 14 al. 1 LCA ), étant d'ailleurs observé que la personne a été sérieusement blessée dans l'explosion ( art. 105 al. 2 LTF ).</w:t>
      </w:r>
    </w:p>
    <w:p>
      <w:r>
        <w:t>Ainsi, il n'y a aucune cause d'exclusion de l'assurance et l'arrêt cantonal, qui viole les art. 18 CO et 33 LCA, doit être annulé.</w:t>
      </w:r>
    </w:p>
    <w:p>
      <w:r>
        <w:t>Il ressort des constatations cantonales que l'intimée a invoqué dans la procédure l' art. 14 al. 2 LCA . Cette disposition prévoit que, si le preneur d'assurance ou l'ayant droit a causé le sinistre par une faute grave, l'assureur est autorisé à réduire sa prestation dans la mesure répondant au degré de la faute. La cour cantonale a retenu que le bateau était dans un état défectueux, mais, en raison de la construction juridique qu'elle a retenue à tort, elle n'a pas examiné sous l'angle des faits la question d'une éventuelle faute individuelle. Les constatations de fait étant insuffisantes sous cet angle, la cause doit être renvoyée à l'autorité précédente pour qu'elle rende une nouvelle décision. Elle devra dire s'il y a lieu à réduction de la prestation d'assurance pour le motif que l'assuré aurait commis une faute grave; il lui incombera ensuite de se prononcer sur la quotité du dommage, tout en tenant compte de la somme assurée.</w:t>
      </w:r>
    </w:p>
    <w:p>
      <w:r>
        <w:rPr>
          <w:b/>
        </w:rPr>
        <w:t>E. 3</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