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4A_200/2007 vom 3. August 2007</w:t>
      </w:r>
    </w:p>
    <w:p>
      <w:r>
        <w:t>Bundesgericht, 2007-08-03, FR</w:t>
      </w:r>
    </w:p>
    <w:p>
      <w:r>
        <w:rPr>
          <w:b/>
        </w:rPr>
        <w:t xml:space="preserve">Quelle: </w:t>
      </w:r>
      <w:r>
        <w:t>https://mcp.opencaselaw.ch/entscheid/bger_4A_200_2007</w:t>
      </w:r>
    </w:p>
    <w:p>
      <w:r>
        <w:t>FR: TF 4A_200/2007 du 3 août 2007</w:t>
      </w:r>
    </w:p>
    <w:p>
      <w:r>
        <w:t>IT: TF 4A_200/2007 del 3 agosto 2007</w:t>
      </w:r>
    </w:p>
    <w:p>
      <w:pPr>
        <w:pStyle w:val="Heading2"/>
      </w:pPr>
      <w:r>
        <w:t>Erwägungen</w:t>
      </w:r>
    </w:p>
    <w:p>
      <w:r>
        <w:rPr>
          <w:b/>
        </w:rPr>
        <w:t>E. 1</w:t>
      </w:r>
    </w:p>
    <w:p>
      <w:r>
        <w:t>Les polices émises par la défenderesse le 19 octobre 1996 et le 12 octobre 2000 ne relèvent pas de l'assurance-accidents régie par la loi fédérale du 20 mars 1981 (LAA; RS 832.20), ni de l'assurance-maladie sociale selon l'art. 1a al. 1 de la loi fédérale du 18 mars 1994 (LAMal; RS 832.10). Devant le Tribunal fédéral, la contestation est donc soumise aux règles du recours en matière civile selon l' art. 72 al. 1 LTF .</w:t>
      </w:r>
    </w:p>
    <w:p>
      <w:r>
        <w:t>La valeur litigieuse excède le minimum légal de 30'000 fr. (art. 51 al. 1 let. a et 74 al. 1 let. b LTF). Le recours est formé par une partie qui a pris part à l'instance précédente et succombé dans ses conclusions ( art. 76 al. 1 LTF ). Le Tribunal cantonal des assurances sociales s'est prononcé en dernière instance cantonale ( art. 75 al. 1 LTF ) mais il n'a pas statué sur recours conformément à l' art. 75 al. 2 LTF . Cette circonstance n'exclut pas le recours au Tribunal fédéral mais le canton de Genève devra, conformément à l' art. 130 al. 2 LTF , adapter ses règles de délimitation de la compétence entre le Tribunal des assurances sociales et la juridiction civile ordinaire.</w:t>
      </w:r>
    </w:p>
    <w:p>
      <w:r>
        <w:rPr>
          <w:b/>
        </w:rPr>
        <w:t>E. 2</w:t>
      </w:r>
    </w:p>
    <w:p>
      <w:r>
        <w:t>Le recours au Tribunal fédéral est recevable contre les décisions qui mettent fin à la procédure ( art. 90 LTF ). Il est aussi recevable contre les décisions préjudicielles ou incidentes communiquées séparément de la décision finale lorsque, parmi d'autres cas, le succès du recours peut conduire immédiatement à une décision finale et éviter, ainsi, une procédure probatoire longue et coûteuse ( art. 93 al. 1 let. b LTF ).</w:t>
      </w:r>
    </w:p>
    <w:p>
      <w:r>
        <w:t>Il est constant que l'arrêt du 13 mars 2007 ne termine pas l'instance introduite contre la défenderesse. Si le recours de cette partie et, avec lui, l'exception de prescription étaient admis, cela conduirait immédiatement à une décision finale. La défenderesse affirme aussi, mais sans fournir plus d'explications à ce sujet, qu'une procédure probatoire longue et coûteuse serait ainsi économisée.</w:t>
      </w:r>
    </w:p>
    <w:p>
      <w:r>
        <w:t>Sur le plan des faits, si l'exception de prescription est rejetée, l'action des demandeurs nécessite surtout d'élucider les conséquences de l'accident du 26 mai 1999 sur les aptitudes de feu F.Y.________. Or, après son décès survenu en avril 2003, on peine à discerner les mesures probatoires qui pourraient encore être entreprises à cette fin; selon toute vraisemblance, le jugement devra plutôt intervenir sur la seule base des éléments de preuve actuellement disponibles. Une expertise médicale, si elle entre encore en considération, ne pourra consister que dans une étude des documents existants. Par ailleurs, les prestations en cause ne nécessitent pas la preuve d'un éventuel dommage. Dans ces circonstances, le recours semble inapte à éviter une procédure probatoire longue et coûteuse, ce qui entraîne son irrecevabilité au regard de l' art. 93 al. 1 let. b LTF .</w:t>
      </w:r>
    </w:p>
    <w:p>
      <w:r>
        <w:rPr>
          <w:b/>
        </w:rPr>
        <w:t>E. 3</w:t>
      </w:r>
    </w:p>
    <w:p>
      <w:r>
        <w:t>A titre de partie qui succombe, la défenderesse doit acquitter l'émolument à percevoir par le Tribunal fédéral et les dépens auxquels les demandeurs peuvent prétendre.</w:t>
      </w:r>
    </w:p>
    <w:p>
      <w:r>
        <w:t>L'émolument doit être évalué d'après la règle générale de l' art. 65 al. 3 let. b LTF car la contestation ne porte pas sur des prestations d'assurance sociale selon l' art. 65 al. 4 let. a LTF (consid. 1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