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4A_199/2025 vom 12. Juni 2025</w:t>
      </w:r>
    </w:p>
    <w:p>
      <w:r>
        <w:t>Bundesgericht, 2025-06-12, DE</w:t>
      </w:r>
    </w:p>
    <w:p>
      <w:r>
        <w:rPr>
          <w:b/>
        </w:rPr>
        <w:t xml:space="preserve">Quelle: </w:t>
      </w:r>
      <w:r>
        <w:t>https://mcp.opencaselaw.ch/entscheid/bger_4A_199_2025</w:t>
      </w:r>
    </w:p>
    <w:p>
      <w:r>
        <w:t>FR: TF 4A_199/2025 du 12 juin 2025</w:t>
      </w:r>
    </w:p>
    <w:p>
      <w:r>
        <w:t>IT: TF 4A_199/2025 del 12 giugno 2025</w:t>
      </w:r>
    </w:p>
    <w:p>
      <w:pPr>
        <w:pStyle w:val="Heading2"/>
      </w:pPr>
      <w:r>
        <w:t>Erwägungen</w:t>
      </w:r>
    </w:p>
    <w:p>
      <w:r>
        <w:rPr>
          <w:b/>
        </w:rPr>
        <w:t>E. 1</w:t>
      </w:r>
    </w:p>
    <w:p>
      <w:r>
        <w:t>Mit Entscheid vom 27. Januar 2025 erteilte das Präsidium des Bezirksgerichts Baden dem Beschwerdeführer in der Betreibung Nr. xxx des Betreibungsamtes (...) (Zahlungsbefehl vom 29. Juli 2024) für den Betrag von Fr. 32'500.-- nebst Zins zu 5 % seit 19. Juni 2024 die provisorische Rechtsöffnung. Dagegen erhob die Beschwerdegegnerin Beschwerde an das Obergericht des Kantons Aargau. Das Obergericht hiess mit Entscheid vom 14. April 2025 die Beschwerde gut, hob den Entscheid des Präsidiums des Bezirksgerichts Baden vom 27. Januar 2025 auf und wies das Rechtsöffnungsbegehren ab.</w:t>
      </w:r>
    </w:p>
    <w:p>
      <w:r>
        <w:t>Gegen diesen Entscheid erhebt der Beschwerdeführer mit Eingabe vom 24. April 2025 Beschwerde an das Bundesgericht. Auf das Einholen von Vernehmlassungen zur Beschwerde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Eingabe des Beschwerdeführers erfüllt diese Begründungsanforderungen offensichtlich nicht. Er schildert im Wesentlichen seine bereits von der Vorinstanz verworfenen Standpunkte, dass die Beschwerdegegnerin die Darlehensvereinbarung handschriftlich unterzeichnet habe und die Ehegatten solidarisch haften würden. Er geht indessen auf die Erwägungen der Vorinstanz nicht hinreichend konkret ein, geschweige denn zeigt er nachvollziehbar auf, welche Rechte die Vorinstanz mit ihrem Entscheid inwiefern verletzt haben soll.</w:t>
      </w:r>
    </w:p>
    <w:p>
      <w:r>
        <w:t>Auf die Beschwerde ist somit mangels hinreichender Begründung nicht einzutreten ( Art. 108 Abs. 1 lit. b BGG ).</w:t>
      </w:r>
    </w:p>
    <w:p>
      <w:r>
        <w:rPr>
          <w:b/>
        </w:rPr>
        <w:t>E. 4</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