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4A_198/2024 vom 24. Mai 2024</w:t>
      </w:r>
    </w:p>
    <w:p>
      <w:r>
        <w:t>Bundesgericht, 2024-05-24, DE</w:t>
      </w:r>
    </w:p>
    <w:p>
      <w:r>
        <w:rPr>
          <w:b/>
        </w:rPr>
        <w:t xml:space="preserve">Quelle: </w:t>
      </w:r>
      <w:r>
        <w:t>https://mcp.opencaselaw.ch/entscheid/bger_4A_198_2024</w:t>
      </w:r>
    </w:p>
    <w:p>
      <w:r>
        <w:t>FR: TF 4A_198/2024 du 24 mai 2024</w:t>
      </w:r>
    </w:p>
    <w:p>
      <w:r>
        <w:t>IT: TF 4A_198/2024 del 24 maggio 2024</w:t>
      </w:r>
    </w:p>
    <w:p>
      <w:pPr>
        <w:pStyle w:val="Heading2"/>
      </w:pPr>
      <w:r>
        <w:t>Erwägungen</w:t>
      </w:r>
    </w:p>
    <w:p>
      <w:r>
        <w:rPr>
          <w:b/>
        </w:rPr>
        <w:t>E. 1</w:t>
      </w:r>
    </w:p>
    <w:p>
      <w:r>
        <w:t>Mit Urteil vom 22. Juni 2023 verpflichtete das Regionalgericht Bern-Mittelland die Beschwerdegegnerin, dem Beschwerdeführer einen Betrag von Fr. 35'000.-- zuzüglich Zins zu bezahlen; soweit weitergehend wies es die Klage des Beschwerdeführers ab.</w:t>
      </w:r>
    </w:p>
    <w:p>
      <w:r>
        <w:t>Der Beschwerdeführer focht diesen Entscheid beim Obergericht des Kantons Bern mit Berufung an.</w:t>
      </w:r>
    </w:p>
    <w:p>
      <w:r>
        <w:t>Mit Verfügung vom 4. März 2024 wies das Obergericht darauf hin, dass die per 21. Februar 2024 datierte Mandatsniederlegung des Rechtsvertreters des Beschwerdeführers (Dispositiv-Ziff. 1) sowie das Schreiben des Beschwerdeführers vom 28. Februar 2024 mit Antrag auf Fristerstreckung für die Zahlung des Gerichtskostenvorschusses sowie auf Aussetzung des Verfahrens bei den Zivilkammern des Obergerichts eingingen (Dispositiv-Ziff. 2), erstreckte die Frist für die Einzahlung des Kostenvorschusses antragsgemäss um 20 Tage ab Zustellung der Verfügung (Dispositiv-Ziff. 3) und wies den Antrag auf Aussetzung des Verfahrens bis zur vollständigen Genesung des Beschwerdeführers ab (Dispositiv-Ziff. 4).</w:t>
      </w:r>
    </w:p>
    <w:p>
      <w:r>
        <w:t>Mit Eingabe vom 10. April 2024 erklärte der Beschwerdeführer dem Bundesgericht, die Verfügung des Obergerichts des Kantons Bern vom 4. März 2024 mit Beschwerde anfechten zu wollen.</w:t>
      </w:r>
    </w:p>
    <w:p>
      <w:r>
        <w:t>Es wurden keine Vernehmlassungen eingeholt.</w:t>
      </w:r>
    </w:p>
    <w:p>
      <w:r>
        <w:rPr>
          <w:b/>
        </w:rPr>
        <w:t>E. 2</w:t>
      </w:r>
    </w:p>
    <w:p>
      <w:r>
        <w:t>Der Beschwerdeführer hat seine Beschwerde in französischer Sprache eingereicht.</w:t>
      </w:r>
    </w:p>
    <w:p>
      <w:r>
        <w:t>Gemäss Art. 54 Abs. 1 BGG wird das bundesgerichtliche Verfahren in der Regel in der Sprache des angefochtenen Urteils geführt, weshalb das Urteil des Bundesgerichts vorliegend in deutscher Sprache ergeht.</w:t>
      </w:r>
    </w:p>
    <w:p>
      <w:r>
        <w:rPr>
          <w:b/>
        </w:rPr>
        <w:t>E. 3</w:t>
      </w:r>
    </w:p>
    <w:p>
      <w:r>
        <w:t>Das Bundesgericht prüft von Amtes wegen und mit freier Kognition, ob ein Rechtsmittel zulässig ist ( Art. 29 Abs. 1 BGG ; BGE 149 III 277 E. 3.1; 148 IV 155 E. 1.1; 143 III 140 E. 1).</w:t>
      </w:r>
    </w:p>
    <w:p>
      <w:r>
        <w:rPr>
          <w:b/>
        </w:rPr>
        <w:t>E. 3.1</w:t>
      </w:r>
    </w:p>
    <w:p>
      <w:r>
        <w:t>Gegen selbstständig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t>Die selbstständige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3.2</w:t>
      </w:r>
    </w:p>
    <w:p>
      <w:r>
        <w:t>Bei der angefochtenen Verfügung des Obergerichts des Kantons Bern vom 4. März 2024 handelt es sich um einen Zwischenentscheid, gegen den die Beschwerde nach Art. 93 Abs. 1 lit. a BGG nur zulässig ist, wenn der Entscheid einen nicht wieder gutzumachenden Nachteil bewirken kann (die Ausnahme von Art. 93 Abs. 1 lit. b BGG fällt ausser Betracht). Der Beschwerdeführer vermag keinen Nachteil rechtlicher Natur aufzuzeigen, der auch durch einen für ihn günstigen Entscheid in der Zukunft nicht mehr behoben werden könnte. Die Eintretensvoraussetzungen sind daher offensichtlich nicht erfüllt.</w:t>
      </w:r>
    </w:p>
    <w:p>
      <w:r>
        <w:t>Auf die Beschwerde ist im vereinfachten Verfahren nach Art. 108 Abs. 1 lit. a BGG nicht einzutreten.</w:t>
      </w:r>
    </w:p>
    <w:p>
      <w:r>
        <w:rPr>
          <w:b/>
        </w:rPr>
        <w:t>E. 4</w:t>
      </w:r>
    </w:p>
    <w:p>
      <w:r>
        <w:t>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