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198/2022 vom 25. Mai 2022</w:t>
      </w:r>
    </w:p>
    <w:p>
      <w:r>
        <w:t>Bundesgericht, 2022-05-25, DE</w:t>
      </w:r>
    </w:p>
    <w:p>
      <w:r>
        <w:rPr>
          <w:b/>
        </w:rPr>
        <w:t xml:space="preserve">Quelle: </w:t>
      </w:r>
      <w:r>
        <w:t>https://mcp.opencaselaw.ch/entscheid/bger_4A_198_2022</w:t>
      </w:r>
    </w:p>
    <w:p>
      <w:r>
        <w:t>FR: TF 4A 198/2022 du 25 mai 2022</w:t>
      </w:r>
    </w:p>
    <w:p>
      <w:r>
        <w:t>IT: TF 4A 198/2022 del 25 maggio 2022</w:t>
      </w:r>
    </w:p>
    <w:p>
      <w:pPr>
        <w:pStyle w:val="Heading2"/>
      </w:pPr>
      <w:r>
        <w:t>Regeste</w:t>
      </w:r>
    </w:p>
    <w:p>
      <w:r>
        <w:t>Mietvertrag, | Vertragsrecht</w:t>
      </w:r>
    </w:p>
    <w:p>
      <w:pPr>
        <w:pStyle w:val="Heading2"/>
      </w:pPr>
      <w:r>
        <w:t>Erwägungen</w:t>
      </w:r>
    </w:p>
    <w:p>
      <w:r>
        <w:rPr>
          <w:b/>
        </w:rPr>
        <w:t>E. 1</w:t>
      </w:r>
    </w:p>
    <w:p>
      <w:r>
        <w:t>Mit Beschluss vom 10. Februar 2022 trat das Kollegialgericht des Mietgerichts Zürich auf eine vom Beschwerdeführer gegen die Beschwerdegegnerin erhobene Klage nicht ein. Mit Urteil vom 30. März 2022 wies das Obergericht des Kantons Zürich eine vom Beschwerdeführer gegen den mietgerichtlichen Beschluss vom 10. Februar 2022 erhobene Berufung ab, soweit es darauf eintrat. Mit Eingabe vom 7. Mai 2022 erklärte der Beschwerdeführer dem Bundesgericht, das Urteil des Obergerichts des Kantons Zürich vom 30. März 2022 mit Beschwerde anfechten zu wollen und ersuchte gleichzeitig um unentgeltliche Prozessführung. Mit Präsidialverfügung vom 11. Mai 2022 wurde das Gesuch um aufschiebende Wirkung abgewiesen.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7. Mai 2022 nicht hinreichend konkret mit den Erwägungen des angefochtenen Entscheids des Obergerichts des Kantons Zürich vom 30. März 2022 auseinander und zeigt nicht rechtsgenügend auf, inwiefern die Vorinstanz mit ihrem Entscheid Bundesrecht verletzt hätte. Stattdessen unterbreitet er dem Bundesgericht seine Sicht der Dinge hinsichtlich seiner finanziellen Verhältnisse und verweist in unzulässiger Weise auf seine Berufungseingabe an die Vorinstanz. Die Eingabe vom 7. Mai 2022 erfüllt damit die erwähnten Begründungsanforderungen offensichtlich nicht.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