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4A_198/2020 vom 1. Dezember 2020</w:t>
      </w:r>
    </w:p>
    <w:p>
      <w:r>
        <w:t>Bundesgericht, 2020-12-01, FR</w:t>
      </w:r>
    </w:p>
    <w:p>
      <w:r>
        <w:rPr>
          <w:b/>
        </w:rPr>
        <w:t xml:space="preserve">Quelle: </w:t>
      </w:r>
      <w:r>
        <w:t>https://mcp.opencaselaw.ch/entscheid/bger_4A_198_2020</w:t>
      </w:r>
    </w:p>
    <w:p>
      <w:r>
        <w:t>FR: TF 4A_198/2020 du 1 décembre 2020</w:t>
      </w:r>
    </w:p>
    <w:p>
      <w:r>
        <w:t>IT: TF 4A_198/2020 del 1 dicembre 2020</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qui du français (le recourant), qui de l'allemand (l'intimé). Dès lors, le présent arrêt sera rendu dans la langue du recours, conformément à l'usage.</w:t>
      </w:r>
    </w:p>
    <w:p>
      <w:r>
        <w:rPr>
          <w:b/>
        </w:rPr>
        <w:t>E. 2.1</w:t>
      </w:r>
    </w:p>
    <w:p>
      <w:r>
        <w:t>Dans le domaine de l'arbitrage international, le recours en matière civile est recevable contre les décisions de tribunaux arbitraux aux conditions prévues par les art. 190 à 192 LDIP ( art. 77 al. 1 let. a LTF ).</w:t>
      </w:r>
    </w:p>
    <w:p>
      <w:r>
        <w:rPr>
          <w:b/>
        </w:rPr>
        <w:t>E. 2.2</w:t>
      </w:r>
    </w:p>
    <w:p>
      <w:r>
        <w:t>Le siège du TAS se trouve à Lausanne. Aucune des parties n'avait son domicile ou son siège en Suisse au moment déterminant. Les dispositions du chapitre 12 de la LDIP sont donc applicables ( art. 176 al. 1 LDIP ).</w:t>
      </w:r>
    </w:p>
    <w:p>
      <w:r>
        <w:rPr>
          <w:b/>
        </w:rPr>
        <w:t>E. 3</w:t>
      </w:r>
    </w:p>
    <w:p>
      <w:r>
        <w:t>L'intimé excipe de l'irrecevabilité du recours. Il soutient que la lettre du 19 juin 2019, par laquelle le TAS a considéré que l'appel avait été déposé en temps utile, constitue une décision incidente contre laquelle le recourant aurait dû recourir immédiatement auprès du Tribunal fédéral. Le recours formé le 27 avril 2020 serait dès lors tardif.</w:t>
      </w:r>
    </w:p>
    <w:p>
      <w:r>
        <w:rPr>
          <w:b/>
        </w:rPr>
        <w:t>E. 3.1</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arrêt 4A_222/2015 du 28 janvier 2016 consid. 3.1.1), voire une sentence préjudicielle ou incidente, qui règle une ou plusieurs questions préalables de fond ou de procédure (sur ces notions, cf. l' ATF 130 III 755 consid. 1.2.1 p. 757). En revanche, une simple ordonnance de procédure pouvant être modifiée ou rapportée en cours d'instance n'est pas susceptible de recours ( ATF 143 III 462 consid. 2.1; 136 III 200 consid. 2.3.1 p. 203; 136 III 597 consid. 4.2; arrêt 4A_596/2012 du 15 avril 2013 consid. 3.3).</w:t>
      </w:r>
    </w:p>
    <w:p>
      <w:r>
        <w:t>Pour juger de la recevabilité du recours, ce qui est déterminant n'est pas la dénomination du prononcé entrepris, mais le contenu de celui-ci ( ATF 143 III 462 consid. 2.1; 142 III 284 consid. 1.1.1; arrêt 4A_222/2015, précité, consid. 3.1.1).</w:t>
      </w:r>
    </w:p>
    <w:p>
      <w:r>
        <w:t>Il résulte de l' art. 190 al. 2 et 3 LDIP qu'une sentence finale ou partielle peut être attaquée pour tous les motifs énumérés à l' art. 190 al. 2 LDIP . Selon l' art. 190 al. 3 LDIP , une décision incidente ne peut en revanche être attaquée devant le Tribunal fédéral que pour les motifs tirés de la composition irrégulière ( art. 190 al. 2 let. a LDIP ) ou de l'incompétence ( art. 190 al. 2 let. b LDIP ) du tribunal arbitral.</w:t>
      </w:r>
    </w:p>
    <w:p>
      <w:r>
        <w:rPr>
          <w:b/>
        </w:rPr>
        <w:t>E. 3.2</w:t>
      </w:r>
    </w:p>
    <w:p>
      <w:r>
        <w:t>Dans l'acte auquel l'intimé se réfère, le TAS n'a pas tranché la question de sa compétence, au demeurant non contestée par les parties, mais celle de savoir si la déclaration d'appel et le mémoire d'appel avaient été déposés en temps utile par l'intimé. Or, le respect du délai d'appel est une condition de recevabilité de l'action de celui-ci, qui ne concerne nullement la compétence du tribunal arbitral (arrêt 4A_413/2019 du 28 octobre 2019 consid. 3.3.2). Par conséquent, le recourant ne pouvait pas attaquer immédiatement l'acte en question devant le Tribunal fédéral avant la sentence finale, étant donné qu'il ne conteste ni la composition du tribunal arbitral ni sa compétence ( art. 190 al. 3 LDIP ).</w:t>
      </w:r>
    </w:p>
    <w:p>
      <w:r>
        <w:rPr>
          <w:b/>
        </w:rPr>
        <w:t>E. 3.3</w:t>
      </w:r>
    </w:p>
    <w:p>
      <w:r>
        <w:t>Pour le reste, qu'il s'agisse de la qualité pour recourir, du délai de recours, des conclusions prises par le recourant ou des griefs soulevés dans le mémoire de recours, aucune de ces conditions de recevabilité ne fait problème en l'espèce.</w:t>
      </w:r>
    </w:p>
    <w:p>
      <w:r>
        <w:t>Rien ne fait obstacle, dès lors, à l'entrée en matière.</w:t>
      </w:r>
    </w:p>
    <w:p>
      <w:r>
        <w:rPr>
          <w:b/>
        </w:rPr>
        <w:t>E. 4</w:t>
      </w:r>
    </w:p>
    <w:p>
      <w:r>
        <w:t>Dénonçant une violation de la règle</w:t>
      </w:r>
    </w:p>
    <w:p>
      <w:r>
        <w:t>ne infra petita ( art. 190 al. 2 let . c LDIP) et de son droit d'être entendu ( art. 190 al. 2 let . d LDIP), le recourant soutient que la Formation aurait omis de statuer sur une conclusion qu'il lui avait soumise, respectivement que les arbitres n'auraient pas examiné l'un de ses arguments décisifs.</w:t>
      </w:r>
    </w:p>
    <w:p>
      <w:r>
        <w:rPr>
          <w:b/>
        </w:rPr>
        <w:t>E. 4.1</w:t>
      </w:r>
    </w:p>
    <w:p>
      <w:r>
        <w:t>Selon l' art. 190 al. 2 let . c, seconde hypothèse, LDIP, la sentence peut être attaquée lorsque le tribunal arbitral a omis de se prononcer sur un des chefs de la demande. L'omission de se prononcer vise un déni de justice formel. Par "chefs de la demande" ("Rechtsbegehren", "determinate conclusioni", "claims"), on entend les demandes ou conclusions des parties. Ce qui est visé ici, c'est la sentence incomplète, soit l'hypothèse dans laquelle le tribunal arbitral n'a pas statué sur l'une des conclusions que lui avaient soumises les parties. Le grief en question ne permet pas de faire valoir que le tribunal arbitral a omis de trancher une question importante pour la solution du litige ( ATF 128 III 234 consid. 4a p. 242 et les références; arrêts 4A_384/2017 du 4 octobre 2017 consid. 3.1; 4A_173/2016 du 20 juin 2016 consid. 3.2).</w:t>
      </w:r>
    </w:p>
    <w:p>
      <w:r>
        <w:rPr>
          <w:b/>
        </w:rPr>
        <w:t>E. 4.2</w:t>
      </w:r>
    </w:p>
    <w:p>
      <w:r>
        <w:t>Le droit d'être entendu, tel qu'il est garanti par les art. 182 al. 3 et 190 al. 2 let. d LDIP, n'a en principe pas un contenu différent de celui consacré en droit constitutionnel ( ATF 142 III 360 consid. 4.1.1; 127 III 576 consid. 2c; 119 II 386 consid. 1b; 117 II 346 consid. 1a p. 347). Il s'agit d'une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(arrêts 4A_491/2017 du 24 mai 2018 consid. 4.1.2 et 4A_247/2017 du 18 avril 2018 consid. 5.1.3).</w:t>
      </w:r>
    </w:p>
    <w:p>
      <w:r>
        <w:t>La jurisprudence a déduit du droit d'être entendu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4.1.3; arrêt 4A_478/2017 du 2 mai 2018 consid. 3.2.1).</w:t>
      </w:r>
    </w:p>
    <w:p>
      <w:r>
        <w:rPr>
          <w:b/>
        </w:rPr>
        <w:t>E. 4.3</w:t>
      </w:r>
    </w:p>
    <w:p>
      <w:r>
        <w:t>Le recourant fait valoir qu'il a conclu, dans son mémoire de réponse du 15 mai 2019, à l'irrecevabilité de l'appel en raison de la tardiveté du dépôt de celui-ci et de l'absence de signature du mémoire d'appel. Or, si la Formation a bien examiné le premier motif, elle aurait en revanche ignoré la conclusion en irrecevabilité liée au défaut de signature. Les arbitres auraient ainsi omis de trancher une question importante pour la solution du litige, puisque l'absence de signature aurait dû entraîner l'irrecevabilité de l'appel.</w:t>
      </w:r>
    </w:p>
    <w:p>
      <w:r>
        <w:t>L'argumentation développée par le recourant ne saurait prospérer.</w:t>
      </w:r>
    </w:p>
    <w:p>
      <w:r>
        <w:t>S'agissant du reproche fait à la Formation d'avoir statué</w:t>
      </w:r>
    </w:p>
    <w:p>
      <w:r>
        <w:t>infra petita , on relèvera que la sentence attaquée rejette toutes autres ou plus amples conclusions (ch. 8 du dispositif), ce qui, selon la jurisprudence constante du Tribunal fédéral, suffit à sceller le sort du grief (arrêts 4A_218/2015 du 28 octobre 2015 consid. 2.1; 4P.206/2006 du 30 mars 2007 consid. 6). Au demeurant, la Formation a partiellement admis l'appel interjeté par le club intimé au présent recours, ce qui signifie qu'elle a jugé l'appel recevable et, implicitement, écarté l'exception d'irrecevabilité soulevée par la partie adverse. Dès lors, le grief fait au Tribunal arbitral d'avoir statué</w:t>
      </w:r>
    </w:p>
    <w:p>
      <w:r>
        <w:t>infra petita tombe manifestement à faux.</w:t>
      </w:r>
    </w:p>
    <w:p>
      <w:r>
        <w:t>Quant à la violation alléguée du droit d'être entendu, il y a lieu de relever que la Formation, sous le titre " Admissibility " (sentence, n. 75-78), a considéré que les appels formés par les parties étaient recevables. En outre, sous le n. 77 de leur sentence, les arbitres ont indiqué ce qui suit:</w:t>
      </w:r>
    </w:p>
    <w:p>
      <w:r>
        <w:t>" The Appealed Decision was notified to the Parties on 11 February 2019. On 28 February and 7 March 2019, B.________ and A.________ filed their respective Statements of Appeal, i.e. within the statutory time limit of 21 days set forth in Article R49 of the CAS Code, which is not disputed.</w:t>
      </w:r>
    </w:p>
    <w:p>
      <w:r>
        <w:t>Furthermore, the Statements of Appeal and the Appeals Briefs complied with all requirements of Articles R48 and R51 of the CAS Code. (passage mis en évidence par la Cour de céans).</w:t>
      </w:r>
    </w:p>
    <w:p>
      <w:r>
        <w:t>La Formation a ainsi considéré non seulement que l'appel de l'intimé avait été déposé en temps utile mais aussi que la déclaration d'appel et le mémoire d'appel répondaient à toutes les exigences prévues par les règles du Code de l'arbitrage en matière de sport (ci-après: le Code). Dans ces conditions, force est d'admettre que la Formation a écarté, fût-ce de manière implicite, la thèse du recourant selon laquelle le défaut de signature sur le mémoire d'appel aurait dû entraîner l'irrecevabilité de l'appel.</w:t>
      </w:r>
    </w:p>
    <w:p>
      <w:r>
        <w:t>Au demeurant, à supposer même que la Formation n'ait pas écarté implicitement le moyen invoqué par le recourant, on devrait de toute manière nier l'existence d'une violation du droit d'être entendu car l'élément prétendument omis n'était pas de nature à influer sur le sort du litige. A cet égard, il sied de relever que le Code ne contient aucune disposition prévoyant que le mémoire d'appel doit être signé ou que l'absence de signature entraînerait, à elle seule, l'irrecevabilité de l'appel. Aussi le recourant ne peut-il pas être suivi lorsqu'il affirme que l'art. R51 du Code " dispose spécifiquement que l'appel est considéré retiré si le mémoire d'appel, nécessairement écrit et signé, ne lui parvient pas dans le délai imparti " (recours, n. 49). Ensuite, comme l'expose le TAS, la Formation a semble-t-il considéré que le mémoire d'appel, transmis non seulement par courriel mais aussi par courrier conformément à l'art. R31 du Code, était suffisamment identifiable car le courrier électronique émanait directement d'un collaborateur de l'intimé. Cela étant, on ne saurait suivre le recourant lorsqu'il affirme qu'il y avait lieu de déclarer l'appel irrecevable en raison de l'absence de signature, sans impartir de délai à l'intimé pour remédier à un tel vice. En effet, selon la jurisprudence, lorsque l'écriture d'une partie n'est pas signée valablement par une partie ou son représentant, le tribunal doit impartir un délai raisonnable pour réparer le vice, sauf en cas d'abus de droit manifeste ( ATF 142 I 10 ). Cette solution correspond du reste à celle prévue aux art. 132 al. 1 du Code de procédure civile (CPC) et 42 al. 5 LTF. En l'occurrence, rien ne permet de retenir que l'absence de signature résultait d'une volonté délibérée de la part de l'intimé, constitutive d'un abus de droit manifeste. A cet égard, le simple fait que l'intimé ait signé sa déclaration d'appel, mais non son mémoire d'appel, n'est pas décisif. Dans ces circonstances, le TAS, s'il estimait que le mémoire d'appel était affecté d'un quelconque vice, aurait dû, à tout le moins, interpeller l'intimé à ce sujet avant de prononcer l'irrecevabilité de son appel. Or, à la lumière de l'ensemble des circonstances, il ne fait guère de doute que l'intimé aurait remédié à cet éventuel vice s'il avait été invité à le faire. Aussi la Cour de céans ne voit-elle pas quelle influence la prétendue violation du droit d'être entendu a pu avoir sur l'issue de la procédure.</w:t>
      </w:r>
    </w:p>
    <w:p>
      <w:r>
        <w:rPr>
          <w:b/>
        </w:rPr>
        <w:t>E. 5</w:t>
      </w:r>
    </w:p>
    <w:p>
      <w:r>
        <w:t>Sur le vu de ce qui précède, le recours doit être rejeté. Le recourant, qui succombe, supportera les frais de la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