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198/2008 vom 7. Juli 2008</w:t>
      </w:r>
    </w:p>
    <w:p>
      <w:r>
        <w:t>Bundesgericht, 2008-07-07, DE</w:t>
      </w:r>
    </w:p>
    <w:p>
      <w:r>
        <w:rPr>
          <w:b/>
        </w:rPr>
        <w:t xml:space="preserve">Quelle: </w:t>
      </w:r>
      <w:r>
        <w:t>https://mcp.opencaselaw.ch/entscheid/bger_4A_198_2008</w:t>
      </w:r>
    </w:p>
    <w:p>
      <w:r>
        <w:t>FR: TF 4A 198/2008 du 7 juillet 2008</w:t>
      </w:r>
    </w:p>
    <w:p>
      <w:r>
        <w:t>IT: TF 4A 198/2008 del 7 luglio 2008</w:t>
      </w:r>
    </w:p>
    <w:p>
      <w:pPr>
        <w:pStyle w:val="Heading2"/>
      </w:pPr>
      <w:r>
        <w:t>Regeste</w:t>
      </w:r>
    </w:p>
    <w:p>
      <w:r>
        <w:t>Mietvertrag; Mietzinserhöhung | Vertragsrecht</w:t>
      </w:r>
    </w:p>
    <w:p>
      <w:pPr>
        <w:pStyle w:val="Heading2"/>
      </w:pPr>
      <w:r>
        <w:t>Erwägungen</w:t>
      </w:r>
    </w:p>
    <w:p>
      <w:r>
        <w:rPr>
          <w:b/>
        </w:rPr>
        <w:t>E. 1</w:t>
      </w:r>
    </w:p>
    <w:p>
      <w:r>
        <w:t>Die vorliegende Beschwerde hat einen Entscheid in Zivilsachen zum Gegenstand ( Art. 72 Abs. 1 BGG ). Sie betrifft eine vermögensrechtliche Angelegenheit mit einem Streitwert von mehr als Fr. 15'000.-- ( Art. 74 Abs. 1 lit. a BGG in Verbindung mit Art. 51 Abs. 1 lit. a BGG ). Die Vorinstanz hat als letzte kantonale Instanz endgültig entschieden ( Art. 75 Abs. 1 und Art. 90 BGG ). Die rechtzeitig eingereichte Beschwerde ( Art. 100 Abs. 1 BGG ) ist grundsätzlich zulässig. Unter Vorbehalt zulässiger Rügen ( Art. 95 ff. BGG ) und gehöriger Begründung ( Art. 42 Abs. 1 und 2 BGG ) ist daher auf die Beschwerde einzutreten.</w:t>
      </w:r>
    </w:p>
    <w:p>
      <w:r>
        <w:rPr>
          <w:b/>
        </w:rPr>
        <w:t>E. 2.1</w:t>
      </w:r>
    </w:p>
    <w:p>
      <w:r>
        <w:t>Das Bundesgericht wendet das Recht von Amtes wegen an ( Art. 106 Abs. 1 BGG ). Es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sowie von kantonalem und interkantonalem Recht. Das Bundesgericht prüft eine solche Rüge nur insofern, als sie in der Beschwerde präzise vorgebracht und begründet worden ist ( Art. 106 Abs. 2 BGG ; BGE 133 II 249 E. 1.4.2 S. 254).</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350 E. 1.3 S. 351, 393 E. 7.1 S. 398, 462 E. 2.4. S. 466).</w:t>
      </w:r>
    </w:p>
    <w:p>
      <w:r>
        <w:rPr>
          <w:b/>
        </w:rPr>
        <w:t>E. 2.3</w:t>
      </w:r>
    </w:p>
    <w:p>
      <w:r>
        <w:t>Soweit der Beschwerdeführer eine Verletzung von Art. 8 ZGB rügt, genügt die Begründung den Anforderungen von Art. 42 Abs. 2 BGG nicht. Er macht lediglich geltend, die Nichtanhörung von Zeugen im vorinstanzlichen Verfahren verletze Art. 8 ZGB , legt jedoch mit keinem Wort dar, welche Zeugen und wozu sie hätten einvernommen werden sollen.</w:t>
      </w:r>
    </w:p>
    <w:p>
      <w:r>
        <w:rPr>
          <w:b/>
        </w:rPr>
        <w:t>E. 2.4</w:t>
      </w:r>
    </w:p>
    <w:p>
      <w:r>
        <w:t>Die Vorinstanz stellte fest, der Beschwerdegegner habe bei der Zahlung der Mietzinsen weder die Formvorschriften noch die Anfechtungsmöglichkeiten gekannt noch zum Voraus auf die Anfechtung des erhöhten Mietzinses verzichtet. Der Beschwerdeführer wirft der Vorinstanz vor, diese Sachverhaltsfeststellung sei unrichtig. Es dürfe erwartet werden, dass der Beschwerdegegner nach einer so langen Dauer des Mietverhältnisses über solche minimalste Kenntnisse verfüge; die Vorinstanz sei in überspitzten Formalismus verfallen. Der Beschwerdeführer begnügt sich im Wesentlichen damit, seine Sichtweise aufzuzeigen und beruft sich dabei auf verschiedene Tatsachen, die sich dem angefochtenen Entscheid nicht entnehmen lassen. Er zeigt jedoch nicht auf, inwiefern die Feststellungen der Vorinstanz offensichtlich unrichtig bzw. willkürlich im Sinne von Art. 9 BV sein sollen. Auf die Rüge ist mangels hinreichender Begründung nicht einzutreten. Ferner ist der Verweis des Beschwerdeführers auf die Akten des kantonalen Verfahrens unbeachtlich, hat doch die Begründung der Beschwerde in der Eingabe selbst enthalten zu sein ( BGE 126 III 198 E. 1d S. 201 mit Hinweis).</w:t>
      </w:r>
    </w:p>
    <w:p>
      <w:r>
        <w:rPr>
          <w:b/>
        </w:rPr>
        <w:t>E. 3</w:t>
      </w:r>
    </w:p>
    <w:p>
      <w:r>
        <w:t>Der Beschwerdeführer wirft der Vorinstanz unter Berufung auf Art. 2 Abs. 2 ZGB vor, sie habe zu Unrecht einzig auf den formalen Aspekt der Kenntnisnahme der Anfechtungsmöglichkeit der Mietzinserhöhungen abgestellt. Es lägen Umstände vor, die - entgegen dem angefochtenen Entscheid - ein rechtsmissbräuchliches Verhalten des Beschwerdegegners nahelegen würden. Alle drei Mietzinserhöhungen seien vom Beschwerdegegner vorbehaltlos akzeptiert worden. Mit seinem Verhalten, insbesondere seinem Stillschweigen, habe er bei ihm, dem Beschwerdeführer, ein schutzwürdiges Vertrauen erweckt und ihn daran gehindert, zu irgendeinem Zeitpunkt den über 14 Jahre zurückliegenden formalen Mangel zu beheben. Der Rückforderungsanspruch sei daher offensichtlich rechtsmissbräuchlich. Eventualiter gelte es erneut die Einrede der Verjährung zu prüfen ( Art. 67 OR ).</w:t>
      </w:r>
    </w:p>
    <w:p>
      <w:r>
        <w:rPr>
          <w:b/>
        </w:rPr>
        <w:t>E. 3.1</w:t>
      </w:r>
    </w:p>
    <w:p>
      <w:r>
        <w:t>Nach Art. 269d Abs. 1 OR kann der Vermieter den Mietzins jederzeit auf den nächstmöglichen Kündigungstermin erhöhen, indem er dem Mieter die Mietzinserhöhung mindestens zehn Tage vor Beginn der Kündigungsfrist auf einem vom Kanton genehmigten Formular mitteilt. Verwendet der Vermieter nicht das vorgeschriebene Formular, ist die Mietzinserhöhung nichtig ( Art. 269d Abs. 2 lit. a OR ). Gemäss bundesgerichtlicher Rechtsprechung sind Mitteilungen von Mietzinserhöhungen, welche nicht mit dem amtlichen Formular erfolgen, als absolut nichtig anzusehen (vgl. BGE 130 III 504 E. 6.2 S. 511 und 123 III 70 E. 2a und 3d). Eine konsensuale Mietvertragsänderung kann zwar einen Verzicht auf die Einhaltung der Formularpflicht rechtfertigen, setzt aber voraus, dass der Mieter über die Anfechtungsmöglichkeit informiert war, dass er mit dem Verzicht auf das Formular bewusst zum Voraus auf die Anfechtung verzichtet hat und überdies ausgeschlossen werden kann, dass er unter Druck stand. Allein aus der formellen Unterschrift des Mieters unter eine allenfalls vom Vermieter vorbereitete Vertragsänderung kann nicht auf einen Verzicht auf die Einhaltung der Formularpflicht und somit auf einen Konsens geschlossen werden ( BGE 123 III 70 E. 3b S. 74). Die absolute Nichtigkeit ist von Amtes wegen festzustellen und kann daher durch den Mieter jederzeit geltend gemacht werden, selbst wenn er den erhöhten Zins bereits bezahlt hat. Die Nichtigkeit der Mitteilung hat diejenige der Mietzinserhöhung zur Folge, weshalb der Mieter die zuviel bezahlte Miete als ungerechtfertigte Bereicherung ( Art. 62 ff. OR ) vom Vermieter zurückfordern kann. Diese Rückforderung muss innerhalb eines Jahres ab dem Zeitpunkt, ab welchem der Mieter vom Rückforderungsanspruch Kenntnis hat, spätestens aber innerhalb von zehn Jahren geltend gemacht werden ( Art. 67 OR ; vgl. hierzu BGE 130 III 504 E. 6.2 S. 511). Eine Ausnahme vom Rückforderungsrecht ist dann zuzulassen, wenn die Berufung auf Formmängel rechtsmissbräuchlich ist ( Art. 2 Abs. 2 ZGB ). Dies ist der Fall, wenn der Mieter den Formmangel zwar erkannt hat, auf dessen Geltendmachung aber verzichtet, um gegebenenfalls später daraus einen Nutzen zu ziehen. Bei der Beurteilung der Frage, ob die Berufung auf Formnichtigkeit rechtsmissbräuchlich ist, sind sowohl die näheren Umstände als auch die Art und Weise der formungültigen Mietzinserhöhung zu berücksichtigen (vgl. BGE 123 III 70 E. 3c und 3d S. 74 f.).</w:t>
      </w:r>
    </w:p>
    <w:p>
      <w:r>
        <w:rPr>
          <w:b/>
        </w:rPr>
        <w:t>E. 3.2</w:t>
      </w:r>
    </w:p>
    <w:p>
      <w:r>
        <w:t>Der Beschwerdeführer kann nichts aus der Tatsache ableiten, dass der Beschwerdegegner die Mietzinserhöhungen bzw. die neuen Verträge jeweils unterschrieben hat, da er nach den für das Bundesgericht verbindlichen Feststellungen der Vorinstanz ( Art. 105 Abs. 1 BGG ) nicht zum Voraus bewusst auf die Anfechtung der Mietzinserhöhungen verzichtet hat und nicht über die Anfechtungsmöglichkeit informiert war. Eine solche Kenntnis ist jedoch Voraussetzung für ein rechtsmissbräuchliches Verhalten. Infolge der Unkenntnis des Beschwerdegegners kann auch aus dem Umstand, dass er den erhöhten Mietzins über Jahre hinweg vorbehaltlos bezahlt hat, kein Rechtsmissbrauch abgeleitet werden, da der Mieter die Nichtigkeit von Mietzinserhöhungen jederzeit geltend machen und die zuviel bezahlten Mietzinse vorbehältlich Art. 2 Abs. 2 ZGB innerhalb der Verjährungsfrist zurückfordern kann (vgl. BGE 130 III 504 E. 6.2 S. 511). Schliesslich kann ein Rechtsmissbrauch auch nicht darin erblickt werden, dass der Beschwerdegegner nach Aufsuchen eines Rechtsanwalts (gegen Ende 2003) keine unmittelbare Beanstandung der Mietzinserhöhungen vorgenommen habe. Die Geltendmachung einer Forderung innerhalb der Verjährungsfrist wäre höchstens dann rechtsmissbräuchlich, wenn ganz besondere Umstände hinzukämen; andernfalls würde das Rechtsinstitut der Verjährung weitgehend ausgehöhlt ( BGE 116 II 428 E. 2 S. 431; 110 II 273 E. 2 S. 275). Solche Umstände lassen sich dem angefochtenen Entscheid nicht entnehmen. Soweit der Beschwerdeführer eventualiter eine Verletzung von Art. 67 OR rügt, zeigt er nicht auf, inwiefern die Vorinstanz Bundesrecht verletzt haben soll, zumal die Verjährung mit der Einreichung der Klage bei der Schlichtungsbehörde am 9. September 2004 vor Ablauf eines Jahres seit Kenntnis des Bereicherungsanspruchs unterbrochen worden ist und die Vorinstanz die Klage des Beschwerdegegners nur für die noch nicht verjährten nichtigen Mietzinserhöhungen ab 1. Oktober 1994 gutgeheissen hat. Die Vorinstanz gelangte ohne Verletzung von Bundesrecht zum Schluss, dass die Mietzinserhöhungen nichtig sind und kein Rechtsmissbrauch des Beschwerdegegners vorliegt. Es ist im Übrigen nicht ersichtlich, was der Beschwerdeführer aus der Vertrauenshaftung zu seinen Gunsten ableiten will, handelt es sich dabei um die Haftung eines vertragsfremden Dritten, die zum Tragen kommt, wenn der Dritte schutzwürdiges Vertrauen erweckt und dieses anschliessend treuwidrig enttäuscht ( BGE 130 III 345 E. 2.1 S. 349 mit Hinweisen). Vorliegend bestand zwischen den Parteien jedoch ein Vertragsverhältnis.</w:t>
      </w:r>
    </w:p>
    <w:p>
      <w:r>
        <w:rPr>
          <w:b/>
        </w:rPr>
        <w:t>E. 4</w:t>
      </w:r>
    </w:p>
    <w:p>
      <w:r>
        <w:t>Die Beschwerde erweist sich als unbegründet und ist abzuweisen, soweit darauf eingetreten werden kann.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