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4A_195/2012 vom 23. August 2012</w:t>
      </w:r>
    </w:p>
    <w:p>
      <w:r>
        <w:t>Bundesgericht, 2012-08-23, FR</w:t>
      </w:r>
    </w:p>
    <w:p>
      <w:r>
        <w:rPr>
          <w:b/>
        </w:rPr>
        <w:t xml:space="preserve">Quelle: </w:t>
      </w:r>
      <w:r>
        <w:t>https://mcp.opencaselaw.ch/entscheid/bger_4A_195_2012</w:t>
      </w:r>
    </w:p>
    <w:p>
      <w:r>
        <w:t>FR: TF 4A_195/2012 du 23 août 2012</w:t>
      </w:r>
    </w:p>
    <w:p>
      <w:r>
        <w:t>IT: TF 4A_195/2012 del 23 agosto 2012</w:t>
      </w:r>
    </w:p>
    <w:p>
      <w:pPr>
        <w:pStyle w:val="Heading2"/>
      </w:pPr>
      <w:r>
        <w:t>Erwägungen</w:t>
      </w:r>
    </w:p>
    <w:p>
      <w:r>
        <w:rPr>
          <w:b/>
        </w:rPr>
        <w:t>E. 1.1</w:t>
      </w:r>
    </w:p>
    <w:p>
      <w:r>
        <w:t>Dirigé contre une décision finale ( art. 90 LTF ) rendue en matière civile ( art. 72 al. 1 LTF ) par une autorité cantonale de dernière instance ( art. 75 al. 1 LTF ) dans une affaire en matière de bail à loyer dont la valeur litigieuse atteint le seuil prescrit ( art. 74 al. 1 let. a LTF ), le présent recours en matière civile est recevable, puisqu'il a été déposé dans le délai ( art. 100 al. 1 LTF ) et la forme ( art. 42 LTF ) prévus par la loi. Demeure réservé l'examen de la recevabilité des griefs qui y sont articulés.</w:t>
      </w:r>
    </w:p>
    <w:p>
      <w:r>
        <w:rPr>
          <w:b/>
        </w:rPr>
        <w:t>E. 1.2</w:t>
      </w:r>
    </w:p>
    <w:p>
      <w:r>
        <w:t>Le recours est ouvert pour violation du droit fédéral ( art. 95 let. a LTF ). Le Tribunal fédéral applique ce droit d'office ( art. 106 al. 1 LTF ). Il n'est pas lié par l'argumentation des parties, apprécie librement la portée juridique des faits, mais s'en tient, d'ordinaire, aux questions juridiques soulevées dans le mémoire de recours ( art. 42 al. 2 LTF ; ATF 135 III 397 consid. 1.4 p. 400; 133 II 249 consid. 1.4.1 p. 254); il ne se prononce sur la violation de droits fondamentaux que si le grief correspondant a été invoqué et motivé par le recourant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 sens de l' art. 9 Cst. ( ATF 133 II 249 consid. 1.1.2 p. 252), ou établies en violation du droit ( art. 105 al. 2 LTF ). La partie recourante est autorisée à attaquer les constatations de fait ainsi viciées si la correction du vice est susceptible d'influer sur le sort de la cause ( art. 97 al. 1 LTF ).</w:t>
      </w:r>
    </w:p>
    <w:p>
      <w:r>
        <w:rPr>
          <w:b/>
        </w:rPr>
        <w:t>E. 2.1</w:t>
      </w:r>
    </w:p>
    <w:p>
      <w:r>
        <w:t>Selon l' art. 75 al. 1 LTF , le recours en matière civile est recevable contre les décisions prises par les autorités cantonales de dernière instance. Aussi le présent recours est-il d'emblée irrecevable dans la mesure où, pour l'essentiel, il s'en prend au jugement du Tribunal des baux et non pas à l'arrêt rendu par la Cour d'appel civile du Tribunal cantonal vaudois. Tombent sous le coup de cette cause d'irrecevabilité les moyens, d'ailleurs guère compréhensibles, soulevés sous ch. IV., (3) à (8) du mémoire de recours (p. 5 à 9).</w:t>
      </w:r>
    </w:p>
    <w:p>
      <w:r>
        <w:t>Au demeurant, les explications fournies par la cour cantonale, jurisprudence fédérale à l'appui, quant à la nature juridique de l'action fondée sur l' art. 85a al.1 LP et aux conditions d'application de cette disposition (arrêt attaqué, consid. 3), de même que sur l'absence d'effet matériel de la décision prise par la Cour des poursuites et faillites dans le cadre de la procédure de mainlevée (arrêt attaqué, consid. 4) ou encore sur le pouvoir d'examen du Tribunal des baux (arrêt attaqué, consid. 5) ne prêtent pas le flanc à la critique, de sorte que la Cour de céans peut se contenter d'y renvoyer, conformément à l' art. 109 al. 3 LTF .</w:t>
      </w:r>
    </w:p>
    <w:p>
      <w:r>
        <w:rPr>
          <w:b/>
        </w:rPr>
        <w:t>E. 2.2</w:t>
      </w:r>
    </w:p>
    <w:p>
      <w:r>
        <w:t>Sous ch. IV., (1) et (2) de leur mémoire de recours (p. 5), les recourants soutiennent que la suspension de la poursuite par voie de mesures provisionnelles a été faite à tort. Toutefois, ils ne s'en prennent pas à la motivation subsidiaire et suffisante dans laquelle la cour cantonale a retenu, d'une part, que le vice invoqué ne serait pas susceptible d'influencer son arrêt et, d'autre part, que la question soulevée a déjà été tranchée par un jugement du Tribunal des baux confirmé par la Chambre des recours (arrêt attaqué, consid. 8, p. 16). Sur ce point aussi, le recours est, dès lors, irrecevable (cf. ATF 113 IV 119 consid. 6.3).</w:t>
      </w:r>
    </w:p>
    <w:p>
      <w:r>
        <w:rPr>
          <w:b/>
        </w:rPr>
        <w:t>E. 2.3</w:t>
      </w:r>
    </w:p>
    <w:p>
      <w:r>
        <w:t>Les recourants relèvent par ailleurs, sous ch. IV., (9), let. (a) et (b) de leur mémoire (p. 9), un manque de cohérence entre le fait de leur avoir octroyé le bénéfice de l'assistance judiciaire, ce qui suppose que la cause ne paraisse pas dépourvue de toute chance de succès ( art. 117 let. b CPC ), et le fait d'avoir renoncé à inviter l'intimée à déposer une réponse, ce qui suppose que l'appel soit manifestement irrecevable ou mal fondé ( art. 312 al. 1 CPC ).</w:t>
      </w:r>
    </w:p>
    <w:p>
      <w:r>
        <w:t>En soi, pareille remarque n'est pas dénuée de tout fondement. Cependant, les recourants ne peuvent rien en tirer en leur faveur, sauf à soutenir que l'assistance judiciaire leur aurait été octroyée à tort. Pour le surplus, ils ne peuvent pas se plaindre de ce que l'intimée n'a pas été invitée à déposer une réponse, d'autant moins que cela leur a évité de devoir verser des dépens à cette partie (cf. art. 122 al. 1 let . d CPC).</w:t>
      </w:r>
    </w:p>
    <w:p>
      <w:r>
        <w:rPr>
          <w:b/>
        </w:rPr>
        <w:t>E. 2.4</w:t>
      </w:r>
    </w:p>
    <w:p>
      <w:r>
        <w:t>En dernier lieu, les recourants contestent que l'on puisse les obliger à rembourser l'assistance judiciaire par mensualités de 50 fr. chacune (mémoire de recours, ch. IV., (9), let. (c), p. 10). Toutefois, ils citent eux-mêmes la disposition prévoyant le principe d'un tel remboursement, i.e. l' art. 123 al. 1 CPC , et n'expliquent pas pourquoi la solution retenue par la Cour d'appel civile serait contraire au droit fédéral. Cet ultime grief est ainsi voué à l'échec à l'instar des précédents.</w:t>
      </w:r>
    </w:p>
    <w:p>
      <w:r>
        <w:rPr>
          <w:b/>
        </w:rPr>
        <w:t>E. 3</w:t>
      </w:r>
    </w:p>
    <w:p>
      <w:r>
        <w:t>Il suit de là que le présent recours ne peut qu'être rejeté, si tant est qu'il soit recevable, selon la procédure prévue à l' art. 109 al. 2 let. a LTF . Partant, la requête d'effet suspensif présentée par ses auteurs devient sans objet.</w:t>
      </w:r>
    </w:p>
    <w:p>
      <w:r>
        <w:t>Etant donné les circonstances, il y a lieu de renoncer à la perception de frais pour la procédure fédérale ( art. 66 al. 1 LTF ), ce qui prive également d'objet la demande d'assistance judiciaire déposée par les recourants.</w:t>
      </w:r>
    </w:p>
    <w:p>
      <w:r>
        <w:t>L'intimée, qui agit seule, n'a pas été invitée à déposer une réponse au recours et s'est déterminée sur la requête d'effet suspensif par une simple lettre de quelques lignes. Aussi n'a-t-elle pas droit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