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4A_195/2010 vom 8. Juni 2010</w:t>
      </w:r>
    </w:p>
    <w:p>
      <w:r>
        <w:t>Bundesgericht, 2010-06-08, FR</w:t>
      </w:r>
    </w:p>
    <w:p>
      <w:r>
        <w:rPr>
          <w:b/>
        </w:rPr>
        <w:t xml:space="preserve">Quelle: </w:t>
      </w:r>
      <w:r>
        <w:t>https://mcp.opencaselaw.ch/entscheid/bger_4A_195_2010</w:t>
      </w:r>
    </w:p>
    <w:p>
      <w:r>
        <w:t>FR: TF 4A_195/2010 du 8 juin 2010</w:t>
      </w:r>
    </w:p>
    <w:p>
      <w:r>
        <w:t>IT: TF 4A_195/2010 del 8 giugno 2010</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L'ordonnance sur preuves attaquée est une décision incidente qui ne porte ni sur la compétence ni sur une demande de récusation (cf. art. 92 LTF ). Une telle décision notifiée séparément ne peut faire l'objet d'un recours au Tribunal fédéral que si elle peut causer un préjudice irréparable ( art. 93 al. 1 let. a LTF ) ou, hypothèse sans pertinence en l'espèce, si l'admission du recours peut conduire immédiatement à une décision finale qui permet d'éviter une procédure probatoire longue et coûteuse ( art. 93 al. 1 let. b LTF ) ( ATF 133 III 629 consid. 2.1 p. 630 s.).</w:t>
      </w:r>
    </w:p>
    <w:p>
      <w:r>
        <w:rPr>
          <w:b/>
        </w:rPr>
        <w:t>E. 1.1.1</w:t>
      </w:r>
    </w:p>
    <w:p>
      <w:r>
        <w:t>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135 II 30 consid. 1.3.4 p. 36; 134 III 188 consid. 2.1 p. 190 et consid. 2.2).</w:t>
      </w:r>
    </w:p>
    <w:p>
      <w:r>
        <w:t>Les décisions relatives à l'administration des preuves ne sont, en principe, pas de nature à causer aux intéressés un dommage irréparable, tel qu'il vient d'être défini. En effet, la partie qui conteste une décision rendue en ce domaine dans un procès qui la concerne pourra attaquer, le cas échéant, la décision incidente en même temps que la décision finale ( ATF 99 Ia 437 consid. 1 p. 438). La règle comporte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 4A_315/2008 du 27 avril 2009 consid. 1.5 et l'arrêt cité).</w:t>
      </w:r>
    </w:p>
    <w:p>
      <w:r>
        <w:t>Il appartient à la partie recourante d'alléguer et d'établir la possibilité que la décision préjudicielle ou incidente lui cause un dommage irréparable, à moins que celui-ci ne fasse d'emblée aucun doute ( ATF 134 III 426 consid. 1.2 p. 429; 133 III 629 consid. 2.3.1).</w:t>
      </w:r>
    </w:p>
    <w:p>
      <w:r>
        <w:rPr>
          <w:b/>
        </w:rPr>
        <w:t>E. 1.1.2</w:t>
      </w:r>
    </w:p>
    <w:p>
      <w:r>
        <w:t>En l'espèce, il est manifeste que les informations contenues dans les pièces dont la production a été ordonnée, une fois portées à la connaissance de l'intimée, seront définitivement divulguées. Par la nature des choses, il ne sera pas possible de revenir en arrière et de réduire à néant la connaissance ainsi acquise par l'intimée. En ce sens, le préjudice invoqué est irréparable et, partant, le recours immédiat est ouvert. Autre est la question de savoir si le préjudice allégué est un motif suffisant pour refuser à l'intimée de prendre connaissance des pièces litigieuses; ce point concerne le bien-fondé du recours, et non sa recevabilité.</w:t>
      </w:r>
    </w:p>
    <w:p>
      <w:r>
        <w:rPr>
          <w:b/>
        </w:rPr>
        <w:t>E. 1.2</w:t>
      </w:r>
    </w:p>
    <w:p>
      <w:r>
        <w:t>Au surplus, la valeur litigieuse s'élève à plus de 15'000 fr. (cf. art. 51 al. 1 let . c et art. 74 al. 1 let. a LTF ). L'ordonnance attaquée ne peut pas faire l'objet d'un recours cantonal (cf. art. 75 al. 1 LTF ). La recourante a pris part à la procédure devant l'autorité cantonale et a un intérêt juridique à l'annulation de la décision attaquée ( art. 76 al. 1 LTF ). Déposé dans le délai ( art. 48 al. 1 et 100 LTF ) et la forme ( art. 42 LTF ) prévus par la loi, le recours est en principe recevable.</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rPr>
          <w:b/>
        </w:rPr>
        <w:t>E. 2.1</w:t>
      </w:r>
    </w:p>
    <w:p>
      <w:r>
        <w:t>La recourante se plaint d'une application arbitraire de l'art. 221 du code de procédure civile de la république et canton de Neuchâtel du 30 septembre 1991 (CPCN; RSN 251.1) (cf. ATF 133 III 462 consid. 2.3 p. 466). Plus précisément, elle reproche à la cour cantonale de n'avoir pas appliqué, dans le cas présent, l'alinéa 2 de cette disposition, lequel stipule qu'il peut être dérogé au droit des parties à assister à l'administration des preuves afin de sauvegarder les secrets d'affaires d'une partie ou d'un tiers ou d'autres intérêts jugés prépondérants. A lire le recours, il était insoutenable de la part de la cour cantonale d'ordonner purement et simplement la production de pièces de nature confidentielle, sans procéder à une pesée des intérêts en jeu. La recourante souligne en particulier que le milieu de la radiologie est très fermé et qu'elle a intérêt à garder les informations litigieuses secrètes, celles-ci pouvant par exemple être utilisées par des concurrents qui souhaiteraient débaucher des employés, ce qui serait très dommageable pour elle en raison de la difficulté à trouver des professionnels compétents et formés. La recourante fait valoir également l'intérêt de ses employés à ce que leur salaire, information sensible relevant de la sphère privée, ne soit pas divulgué à l'extérieur.</w:t>
      </w:r>
    </w:p>
    <w:p>
      <w:r>
        <w:rPr>
          <w:b/>
        </w:rPr>
        <w:t>E. 2.2</w:t>
      </w:r>
    </w:p>
    <w:p>
      <w:r>
        <w:t>Selon l'art. 221 al. 1 CPCN, les parties au procès ont le droit de prendre connaissance des pièces produites. Il peut toutefois être dérogé à ce droit pour sauvegarder des secrets d'affaires, singulièrement de la partie adverse, ou d'autres intérêts jugés prépondérants (art. 221 al. 2 CPCN); dans ce cas, le juge prend connaissance de la preuve hors de la présence de la partie adverse ou des deux parties, soit directement, soit par l'intermédiaire d'un expert (art. 221 al. 3 CPCN).</w:t>
      </w:r>
    </w:p>
    <w:p>
      <w:r>
        <w:t>La recourante ne précise pas la portée des notions de secret d'affaires et d'intérêts prépondérants qui relèvent du droit cantonal. En règle générale, on admet que le secret d'affaires couvre les données techniques, organisationnelles, commerciales et financières qui sont spécifiques à l'entreprise, qui peuvent avoir une incidence sur le résultat commercial et que l'entrepreneur veut garder secrètes (cf. ATF 109 Ib 47 consid. 5c p. 56; 103 IV 283 consid. 2b p. 284). Les secrets ne sont protégés que s'il existe un intérêt prépondérant à leur maintien, ce qui n'est admis qu'avec réserve (cf. Fabienne Hohl, Procédure civile, tome I, 2001, n° 906 p. 174).</w:t>
      </w:r>
    </w:p>
    <w:p>
      <w:r>
        <w:t>L'intimée fait valoir une participation aux bénéfices de la recourante, prévue dans le contrat de travail liant les parties. Dans une telle situation, l' art. 322a al. 2 CO fait obligation à l'employeur de fournir les renseignements nécessaires au travailleur ou, condition non réalisée en l'espèce, à un expert désigné en commun par les parties ou par le juge; il fait également obligation à l'employeur d'autoriser le travailleur à consulter les livres de comptabilité dans la mesure nécessaire. Si une participation aux bénéfices de l'entreprise est convenue, l' art. 322 al. 3 CO oblige l'employeur à remettre une copie du compte de profits et pertes de l'exercice annuel au travailleur qui le demande.</w:t>
      </w:r>
    </w:p>
    <w:p>
      <w:r>
        <w:t>L'obligation de l'employeur de protéger et de respecter la personnalité des travailleurs ne fait pas obstacle à la divulgation des revenus de ces derniers (cf. art. 328 CO ; Rehbinder/Stöckli, Berner Kommentar, 3e éd. 2010, n° 4 ad art. 328 CO ). Dans le cadre d'une procédure judiciaire entre employeur et travailleur dans laquelle le revenu des autres travailleurs au service de l'employeur est pertinent pour le jugement à rendre, l'employeur ne peut pas refuser de fournir ces données. La consultation de la comptabilité, garantie par l' art. 322a CO au travailleur partie à la procédure, implique d'ailleurs la divulgation de ces informations.</w:t>
      </w:r>
    </w:p>
    <w:p>
      <w:r>
        <w:rPr>
          <w:b/>
        </w:rPr>
        <w:t>E. 2.3</w:t>
      </w:r>
    </w:p>
    <w:p>
      <w:r>
        <w:t>En l'espèce, les documents à produire sont nécessaires pour fixer le montant dû à l'intimée à titre de participation, peu importe si la qualité du travail de la collaboratrice doit également être prise en compte dans ce calcul. Cette nécessité découle du mode de fixation de la participation prévue dans le contrat de travail, mode que la recourante a accepté et dont elle doit en conséquence accepter les implications en cas de litige sur le montant de la participation. Le seul intérêt que l'employeur invoque pour s'opposer à la production est le risque que la connaissance des revenus des collaborateurs faciliterait un éventuel débauchage par des tiers. Ce risque est assez théorique dès lors qu'on ne voit pas ce qui empêcherait des collaborateurs abordés par des employeurs potentiels de divulguer eux-mêmes leur revenu. Quoi qu'il en soit, l'incidence sur la marche de l'entreprise - un institut de radiologie - apparaît limitée et ne saurait contrebalancer l'intérêt de l'intimée à obtenir la rémunération que la recourante s'est engagée à lui verser.</w:t>
      </w:r>
    </w:p>
    <w:p>
      <w:r>
        <w:t>Dans ces circonstances, il ne saurait être question d'une application arbitraire de l'art. 221 CPCN. Le grief est mal fondé.</w:t>
      </w:r>
    </w:p>
    <w:p>
      <w:r>
        <w:rPr>
          <w:b/>
        </w:rPr>
        <w:t>E. 3</w:t>
      </w:r>
    </w:p>
    <w:p>
      <w:r>
        <w:t>La recourante évoque, sans autre motivation, la violation des art. 13 et 27 Cst. , des art. 11 et 26 Cst./NE (RSN 101), de l' art. 28 CC , des art. 328 et 328b CO ainsi que de l' art. 3 LPD (RS 235.1). Il n'y a pas à entrer en matière sur ces moyens, faute de motivation conforme aux exigences légales ( art. 106 al. 2 et art. 42 al. 2 LTF ; cf. consid. 1.3 supra).</w:t>
      </w:r>
    </w:p>
    <w:p>
      <w:r>
        <w:rPr>
          <w:b/>
        </w:rPr>
        <w:t>E. 4</w:t>
      </w:r>
    </w:p>
    <w:p>
      <w:r>
        <w:t>La recourante, qui succombe, prendra à sa charge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