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4A_194/2019 vom 12. März 2019</w:t>
      </w:r>
    </w:p>
    <w:p>
      <w:r>
        <w:t>Bundesgericht, 2019-03-12, IT</w:t>
      </w:r>
    </w:p>
    <w:p>
      <w:r>
        <w:rPr>
          <w:b/>
        </w:rPr>
        <w:t xml:space="preserve">Quelle: </w:t>
      </w:r>
      <w:r>
        <w:t>https://mcp.opencaselaw.ch/entscheid/bger_4A_194_2019</w:t>
      </w:r>
    </w:p>
    <w:p>
      <w:r>
        <w:t>FR: TF 4A_194/2019 du 12 mars 2019</w:t>
      </w:r>
    </w:p>
    <w:p>
      <w:r>
        <w:t>IT: TF 4A_194/2019 del 12 marzo 2019</w:t>
      </w:r>
    </w:p>
    <w:p>
      <w:pPr>
        <w:pStyle w:val="Heading2"/>
      </w:pPr>
      <w:r>
        <w:t>Erwägungen</w:t>
      </w:r>
    </w:p>
    <w:p>
      <w:r>
        <w:rPr>
          <w:b/>
        </w:rPr>
        <w:t>E. 6</w:t>
      </w:r>
    </w:p>
    <w:p>
      <w:r>
        <w:t>Quale mandatario l'avvocato è responsabile verso il mandante della fedele e diligente esecuzione degli affari affidatigli ( art. 398 cpv. 2 CO ). Qualora violi i suoi obblighi di diligenza e fedeltà, egli non risponde solo del danno che causa ( DTF 134 III 534 consid. 3.2.2; 127 III 357 consid. 1b con rinvii), ma può pure vedersi ridotta la mercede. Se il risultato della carente esecuzione del mandato è del tutto inutilizzabile per il mandante, quest'ultimo non deve alcuna mercede al mandatario. Il diritto del mandante alla riparazione del danno e il diritto a una riduzione della retribuzione del mandatario sono cumulabili (sentenze 4A_412/2019 del 27 aprile 2020 consid. 8.3.1 e 4A_444/2019 del 21 aprile 2020 consid. 3; DTF 124 III 423 consid. 3c).</w:t>
      </w:r>
    </w:p>
    <w:p>
      <w:r>
        <w:t>Anche se non è tenuto a fornire un risultato, il mandatario deve compiere la sua attività secondo le regole dell'arte. Non risponde tuttavia dei rischi specifici inerenti alla formazione e al riconoscimento di un'opinione giuridica determinata. Da questo punto di vista egli esercita un'attività a rischio, di cui occorre tenere conto dal profilo del diritto della responsabilità civile. L'avvocato non può in particolare essere ritenuto responsabile per ogni misura od omissione che a posteriori risulta essere la causa del danno o che avrebbe potuto impedirlo (sentenza 4A_693/2014 del 4 febbraio 2016 consid. 3). Il grado di diligenza richiesto al mandatario non va determinato una volta per tutte, ma va stabilito in base alle capacità, alle conoscenze specifiche e alle attitudini di quest'ultimo che il mandante conosceva o avrebbe dovuto conoscere. Determinanti sono le circostanze del caso concreto. Sapere se il modo di agire di un avvocato va o no qualificato come conforme al suo dovere di diligenza risulta da una ponderazione tra il rischio generato dalla professione esercitata, da un lato, e le competenze autoritativamente certificate, dall'altro ( DTF 134 III 534 consid. 3.2.2; 127 III 357 consid. 1c).</w:t>
      </w:r>
    </w:p>
    <w:p>
      <w:r>
        <w:rPr>
          <w:b/>
        </w:rPr>
        <w:t>E. 6.1</w:t>
      </w:r>
    </w:p>
    <w:p>
      <w:r>
        <w:t>La Corte cantonale ha fatto proprio il convincimento del Pretore secondo cui "un legale mediamente preparato" si sarebbe accorto di non poter ottenere una licenza edilizia per il cambiamento di destinazione al più tardi alla fine di gennaio 2010, quando gli erano noti tutti gli elementi necessari ad una valutazione della fattispecie. Il quadro legislativo descritto nella sentenza di primo grado escludeva la possibilità di un cambiamento di destinazione di edifici rurali. Ciò, aggiunge l'autorità inferiore, indipendentemente dall'assenza di un'informazione in tal senso da parte del tecnico comunale o del geometra, ricordato inoltre che fra le competenze dell'autorità comunale non rientra l'autorizzazione di edificazioni fuori zona.</w:t>
      </w:r>
    </w:p>
    <w:p>
      <w:r>
        <w:rPr>
          <w:b/>
        </w:rPr>
        <w:t>E. 6.2</w:t>
      </w:r>
    </w:p>
    <w:p>
      <w:r>
        <w:t>Il ricorrente afferma che non può essergli imputata alcuna responsabilità per non "avere colto da subito" la presenza di una tematica insormontabile concernente il rustico in questione. Sostiene che una licenza edilizia in sanatoria non presuppone un abuso e che l'agire delle parti e delle autorità ha interrotto il nesso causale, in particolare alla luce della poca chiarezza delle missive della Sezione dell'agricoltura. Contrariamente a quanto sarebbe arbitrariamente indicato nella sentenza impugnata, la domanda di rilascio della licenza edilizia non sarebbe già stata inoltrata il 7 giugno 2010, ma egli l'avrebbe consegnata personalmente ai rappresentati del municipio dopo aver fatto apportare le modifiche chieste dall'ufficio tecnico comunale "per portare a buon fine la pratica". Nega che il quadro giuridico fosse chiaro: come risulterebbe da un'interpellanza inoltrata nel 2019 da un membro del Gran Consiglio ticinese, la situazione sarebbe ancora oggi incerta. Inoltre, essendo lo stabile inserito nell'inventario degli edifici fuori zona edificabile, non sarebbe stato "a priori esente da chances circa un cambiamento di destinazione".</w:t>
      </w:r>
    </w:p>
    <w:p>
      <w:r>
        <w:rPr>
          <w:b/>
        </w:rPr>
        <w:t>E. 6.3</w:t>
      </w:r>
    </w:p>
    <w:p>
      <w:r>
        <w:t>In concreto, il ricorrente non può essere seguito quando ritiene che dalla comunicazione - avvenuta nel mese di dicembre 2009 e confermata il gennaio seguente - di un cambiamento di destinazione di un edificio situato fuori dalla zona edificabile, censito quale stalla/fienile fuori uso, effettuato senza una licenza edilizia, egli non poteva desumere l'esistenza di un rustico riattato abusivamente ed agire di conseguenza. Prima di intraprendere ulteriori passi, avrebbe quindi dovuto, quale avvocato, consultare le pertinenti disposizioni legali concernenti le modifiche di edifici fuori dalla zona edificabile, segnatamente gli art. 24 segg. della Legge sulla pianificazione del territorio (LPT) e l'art. 39 dell'Ordinanza sulla pianificazione del territorio (OPT) al fine di inquadrare la situazione dal profilo giuridico. Il ricorrente non afferma di averlo fatto né che da un tale esame sarebbero emersi elementi che lasciavano intravvedere una reale possibilità di ottenere una licenza edilizia in sanatoria. Il ricorrente non poteva nemmeno confidare sul fatto che delle persone senza formazione giuridica, quale il suo mandante, il Comune o i tecnici coinvolti lo illuminassero.</w:t>
      </w:r>
    </w:p>
    <w:p>
      <w:r>
        <w:t>A tale proposito giova rilevare che, come incontestatamente indicato nella sentenza impugnata, il comportamento dell 'autorità comunale o dei suoi impiegati è del tutto irrilevante poiché, trattandosi di un edificio fuori dalla zona edificabile, competeva al Cantone stabilire se una licenza edilizia potesse essere rilasciata. Come risulta pure dalla giurisprudenza di questo Tribunale, anche un - semplice - cittadino dev'essere a conoscenza di tale fatto e non può invocare il principio della buona fede o prevalersi di altre assicurazioni fornite dall'autorità comunale (cfr. sentenza 1C_403/2008 del 23 ottobre 2008 consid. 3.3, riprodotto in RtiD 2009 I 208). Del resto, il ricorrente continua a riferirsi all'agire della Sezione dell'agricoltura, che fa parte del Dipartimento delle finanze e dell'economia, ma non afferma di aver ricevuto delle assicurazioni da parte dell'autorità cantonale competente in materia di licenze edilizie, e cioè dal Dipartimento del territorio ( art. 2 cpv. 1 del Regolamento di applicazione della legge edilizia ticinese).</w:t>
      </w:r>
    </w:p>
    <w:p>
      <w:r>
        <w:t>Ne segue che la conclusione della sentenza impugnata secondo cui il ricorrente non ha correttamente eseguito l'intero mandato affidatogli non viola il diritto federale. Il fatto di aver ricevuto ancora il 15 febbraio 2010 dall'opponente il mandato di "assisterlo nella pratica edilizia" non è manifestamente idoneo a dimostrare il contrario. A tale proposito il ricorrente mischia, riferendosi peraltro inammissibilmente alla sentenza di primo grado, la questione del rilascio della licenza edilizia e con la procedura di contravvenzione e pare quindi non avvedersi del fatto che la Corte cantonale gli ha riconosciuto una retribuzione (incluso il rimborso delle spese) per il lavoro svolto in quest'ultima procedura. Altrettanto inconferente ai fini del presente giudizio si rivela il richiamo "alla clausola liberatoria nel rogito (esclusione di responsabilità) ", in cui ha reso attento le parti che la procedura di frazionamento in corso non era ancora stata autorizzata. Al ricorrente non viene infatti rimproverato di avere proposto tale frazionamento irrealizzabile in tre fondi, ma di non aver direttamente ripiegato, una volta emersa l'impraticabilità di tale modo di procedere, sulla soluzione (lo scorporamento del solo mappale venduto) che ha poi permesso di iscrivere a registro fondiario il trapasso di proprietà.</w:t>
      </w:r>
    </w:p>
    <w:p>
      <w:r>
        <w:rPr>
          <w:b/>
        </w:rPr>
        <w:t>E. 7</w:t>
      </w:r>
    </w:p>
    <w:p>
      <w:r>
        <w:t>Da quanto precede discende che il - prolisso - ricorso si rivela, nella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