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4A_193/2021 vom 7. Juli 2021</w:t>
      </w:r>
    </w:p>
    <w:p>
      <w:r>
        <w:t>Bundesgericht, 2021-07-07, FR</w:t>
      </w:r>
    </w:p>
    <w:p>
      <w:r>
        <w:rPr>
          <w:b/>
        </w:rPr>
        <w:t xml:space="preserve">Quelle: </w:t>
      </w:r>
      <w:r>
        <w:t>https://mcp.opencaselaw.ch/entscheid/bger_4A_193_2021</w:t>
      </w:r>
    </w:p>
    <w:p>
      <w:r>
        <w:t>FR: TF 4A_193/2021 du 7 juillet 2021</w:t>
      </w:r>
    </w:p>
    <w:p>
      <w:r>
        <w:t>IT: TF 4A_193/2021 del 7 luglio 2021</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w:t>
      </w:r>
    </w:p>
    <w:p>
      <w:r>
        <w:rPr>
          <w:b/>
        </w:rPr>
        <w:t>E. 3</w:t>
      </w:r>
    </w:p>
    <w:p>
      <w:r>
        <w:t>Tout d'abord, le recourant reproche à la cour cantonale d'avoir violé l' art. 317 CPC dans la mesure où elle a refusé de prendre en compte les pièces produites en appel, à savoir, notamment, des preuves de paiement de certains loyers.</w:t>
      </w:r>
    </w:p>
    <w:p>
      <w:r>
        <w:rPr>
          <w:b/>
        </w:rPr>
        <w:t>E. 3.1</w:t>
      </w:r>
    </w:p>
    <w:p>
      <w:r>
        <w:t>Aux termes de l' art. 317 al. 1 CPC ,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w:t>
      </w:r>
    </w:p>
    <w:p>
      <w:r>
        <w:t>S'agissant des</w:t>
      </w:r>
    </w:p>
    <w:p>
      <w:r>
        <w:t>pseudo nova , soit les faits et moyens de preuve qui existaient déjà au début des délibérations de première instance, leur admissibilité est largement limitée en appel: ils sont irrecevables lorsque le plaideur aurait déjà pu les introduire dans la procédure de première instance s'il avait été diligent ( ATF 143 III 42 consid. 4.1). Le CPC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 ATF 142 III 413 consid. 2.2.2; arrêt 4A_547/2019 du 9 juillet 2020 consid. 3.1). Il s'agit donc de déterminer si, objectivement, le plaideur a fait preuve de diligence (arrêt 4A_547/2019 précité consid. 3.1 et les références).</w:t>
      </w:r>
    </w:p>
    <w:p>
      <w:r>
        <w:t>Le plaideur qui fait valoir des</w:t>
      </w:r>
    </w:p>
    <w:p>
      <w:r>
        <w:t>pseudo nova devant l'instance d'appel doit exposer précisément les raisons pour lesquelles il ne les a pas invoqués en première instance ( ATF 144 III 349 consid. 4.2.1; 143 III 42 consid. 4.1).</w:t>
      </w:r>
    </w:p>
    <w:p>
      <w:r>
        <w:rPr>
          <w:b/>
        </w:rPr>
        <w:t>E. 3.2</w:t>
      </w:r>
    </w:p>
    <w:p>
      <w:r>
        <w:t>En l'espèce, la cour cantonale a considéré que le recourant n'avait pas expliqué dans son appel qu'il n'aurait pas pu déposer ces pièces devant la première instance en faisant preuve de la diligence requise. Il avait exposé ultérieurement, soit tardivement, que ces pièces n'avaient pas été produites en raison d'une erreur et d'une confusion de sa part. Ainsi, s'il avait fait preuve de diligence, il aurait pu produire en première instance ces pièces, qui ont d'ailleurs été établies entre 2011 et 2014. Dès lors, elles ne pouvaient pas être prises en compte.</w:t>
      </w:r>
    </w:p>
    <w:p>
      <w:r>
        <w:t>Le recourant fait valoir qu'il n'était plus représenté par un mandataire professionnel lorsqu'il a déposé son appel. Il ajoute que, dans l'intérêt de la recherche de la vérité matérielle, il n'y a pas lieu d'appliquer des exigences trop strictes à l'égard de la diligence requise. Il se prévaut encore d'une prétendue mauvaise foi de l'intimé.</w:t>
      </w:r>
    </w:p>
    <w:p>
      <w:r>
        <w:t>Le fait que le recourant n'était plus assisté d'un avocat au stade de l'appel ne le dispensait pas d'expliquer, dans son appel, les raisons pour lesquelles il n'avait pas pu produire ces pièces en première instance. Pour le surplus, la cour cantonale n'a pas appliqué trop strictement les exigences quant à la diligence requise, puisqu'il s'agissait de documents qui étaient déjà en la possession du recourant (cf. arrêts 4A_547/2019 précité consid. 3.1; 4A_419/2018 du 10 septembre 2018 consid. 6), qu'il n'a pas produits en première instance du seul fait d'une erreur de sa part. Le recourant allègue encore la mauvaise foi de l'intimé, mais se fonde sur des faits qui n'ont pas été constatés dans l'arrêt de la cour cantonale. Quoi qu'il en soit, cela ne pourrait pas permettre de réparer les manquements précités du recourant.</w:t>
      </w:r>
    </w:p>
    <w:p>
      <w:r>
        <w:rPr>
          <w:b/>
        </w:rPr>
        <w:t>E. 4</w:t>
      </w:r>
    </w:p>
    <w:p>
      <w:r>
        <w:t>Ensuite, le recourant soutient que les considérations de l'arrêt attaqué, selon lesquelles il aurait échoué à démontrer qu'il ne devait pas encore 40'000 fr. au bailleur, reposent sur une constatation manifestement inexacte des faits pertinents et consacrent une violation des art. 18, 175 et 176 CO , ainsi que de l' art. 8 CC .</w:t>
      </w:r>
    </w:p>
    <w:p>
      <w:r>
        <w:rPr>
          <w:b/>
        </w:rPr>
        <w:t>E. 4.1</w:t>
      </w:r>
    </w:p>
    <w:p>
      <w:r>
        <w:t>La cour cantonale a relevé que dans son appel, A.________ avait fait valoir qu'il ne devait pas 75'000 fr. de loyers impayés, mais seulement 40'000 fr., et qu'il s'était déjà acquitté de cet arriéré en payant divers travaux effectués dans les locaux loués. L'appel reposait sur des faits nouveaux, qui entraient en contradiction avec ceux que le prénommé avait lui-même allégués en première instance, à savoir que l'arriéré de loyer se montait à 75'000 fr., que le bailleur avait accepté de réduire cette dette à 40'000 fr. pour tenir compte des dépenses assumées par son locataire, et que C.________ SA avait ensuite repris le solde de la dette de loyer. La cour cantonale a retenu que A.________ avait omis d'exposer qu'il n'aurait pas pu alléguer sa nouvelle version des faits devant la juridiction de première instance en faisant preuve de la diligence requise. Ces faits nouveaux ne pouvaient donc pas être pris en compte. En tout état de cause, on ne voyait pas ce qui l'aurait empêché de les alléguer en première instance déjà. L'appel reposant sur ces faits nouveaux, il devait être rejeté. Par surabondance, la cour cantonale a considéré que A.________ avait échoué à faire la démonstration qu'il ne devait pas encore 40'000 fr. au bailleur.</w:t>
      </w:r>
    </w:p>
    <w:p>
      <w:r>
        <w:rPr>
          <w:b/>
        </w:rPr>
        <w:t>E. 4.2</w:t>
      </w:r>
    </w:p>
    <w:p>
      <w:r>
        <w:t>Les juges précédents ont donc rejeté l'appel sur la base d'une double motivation, chacune suffisant à sceller le sort du litige. Or, lorsque la décision attaquée comporte plusieurs motivations indépendantes et suffisantes pour sceller le sort de la cause ou d'une partie de celle-ci, il incombe au recourant, sous peine d'irrecevabilité, de démontrer que chacune d'elles est contraire au droit ( ATF 133 IV 119 consid. 6.3 et les références). Force est de constater que le recourant ne s'en prend qu'à la seconde motivation, de sorte que son moyen devrait être considéré comme irrecevable. En tout état de cause, les arguments qu'il a soulevés en lien avec les pièces nouvelles écartées par la cour cantonale (cf. consid. 3</w:t>
      </w:r>
    </w:p>
    <w:p>
      <w:r>
        <w:t>supra ) ne lui sont d'aucune utilité ici. Ils ne permettent pas de retenir que la motivation de l'instance précédente concernant les faits nouveaux violerait le droit fédéral. Comme pour les pièces nouvelles, les juges cantonaux étaient fondés à ne pas prendre en compte les faits nouveaux, sur lesquels reposait entièrement l'appel et, partant, à rejeter ce dernier pour ce motif déjà.</w:t>
      </w:r>
    </w:p>
    <w:p>
      <w:r>
        <w:t>Dans ces conditions, il est superflu d'examiner les arguments du recourant en lien avec la motivation alternative présentée par la cour cantonale.</w:t>
      </w:r>
    </w:p>
    <w:p>
      <w:r>
        <w:rPr>
          <w:b/>
        </w:rPr>
        <w:t>E. 5</w:t>
      </w:r>
    </w:p>
    <w:p>
      <w:r>
        <w:t>En définitive, le recours doit être rejeté, dans la mesure où il est recevable.</w:t>
      </w:r>
    </w:p>
    <w:p>
      <w:r>
        <w:t>Le recourant, qui succombe, prendra en charge les frais judiciaires ( art. 66 al. 1 LTF ). En revanche, il n'aura pas à 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