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4A_193/2019 vom 23. September 2019</w:t>
      </w:r>
    </w:p>
    <w:p>
      <w:r>
        <w:t>Bundesgericht, 2019-09-23, DE</w:t>
      </w:r>
    </w:p>
    <w:p>
      <w:r>
        <w:rPr>
          <w:b/>
        </w:rPr>
        <w:t xml:space="preserve">Quelle: </w:t>
      </w:r>
      <w:r>
        <w:t>https://mcp.opencaselaw.ch/entscheid/bger_4A_193_2019</w:t>
      </w:r>
    </w:p>
    <w:p>
      <w:r>
        <w:t>FR: TF 4A_193/2019 du 23 septembre 2019</w:t>
      </w:r>
    </w:p>
    <w:p>
      <w:r>
        <w:t>IT: TF 4A_193/2019 del 23 settembre 2019</w:t>
      </w:r>
    </w:p>
    <w:p>
      <w:pPr>
        <w:pStyle w:val="Heading2"/>
      </w:pPr>
      <w:r>
        <w:t>Erwägungen</w:t>
      </w:r>
    </w:p>
    <w:p>
      <w:r>
        <w:rPr>
          <w:b/>
        </w:rPr>
        <w:t>E. 1.1</w:t>
      </w:r>
    </w:p>
    <w:p>
      <w:r>
        <w:t>Das angefochtene Urteil des Obergerichts ist ein Endentscheid ( Art. 90 BGG ) einer Vorinstanz im Sinne von Art. 75 BGG .</w:t>
      </w:r>
    </w:p>
    <w:p>
      <w:r>
        <w:rPr>
          <w:b/>
        </w:rPr>
        <w:t>E. 1.2.1</w:t>
      </w:r>
    </w:p>
    <w:p>
      <w:r>
        <w:t>Der Streitwert erreicht die Grenze von Fr. 30'000.-- gemäss Art. 74 Abs. 1 lit. b BGG nicht. Unter diesen Umständen ist die Beschwerde in Zivilsachen nach Art. 74 Abs. 2 lit. a BGG dennoch zulässig, wenn sich eine Rechtsfrage von grundsätzlicher Bedeutung stellt. Die Beschwerdeführerin macht geltend, dies sei der Fall.</w:t>
      </w:r>
    </w:p>
    <w:p>
      <w:r>
        <w:rPr>
          <w:b/>
        </w:rPr>
        <w:t>E. 1.2.2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w:t>
      </w:r>
    </w:p>
    <w:p>
      <w:r>
        <w:t>Ist eine Beschwerde nur unter der Voraussetzung zulässig, dass sich eine Rechtsfrage von grundsätzlicher Bedeutung stellt, so ist in der Beschwerde auszuführen, warum diese Voraussetzung erfüllt ist ( Art. 42 Abs. 2 Satz 2 BGG ).</w:t>
      </w:r>
    </w:p>
    <w:p>
      <w:r>
        <w:rPr>
          <w:b/>
        </w:rPr>
        <w:t>E. 1.2.3</w:t>
      </w:r>
    </w:p>
    <w:p>
      <w:r>
        <w:t>Die Beschwerdeführerin trägt vor, es stelle sich die Rechtsfrage, "ob sich aus dem Stillschweigen bzw. Nichttätigwerden zweier Parteien überhaupt ein normativer Konsens zur Begründung eines Vertragsverhältnisses ableiten" lasse. Die Vorinstanz habe dies zu Unrecht bejaht und das Vorliegen eines durch "beidseitiges Stillschweigen" zustande gekommenen Aufhebungsvertrags bejaht, was der Rechtssicherheit abträglich sei. Die Frage sei für den "alltäglichen Rechtsverkehr" von allgemeiner Tragweite.</w:t>
      </w:r>
    </w:p>
    <w:p>
      <w:r>
        <w:t>Damit vermag die Beschwerdeführerin nicht aufzuzeigen, dass sich eine Rechtsfrage von grundsätzlicher Bedeutung stellt. In der Sache kritisiert sie vielmehr, die Vorinstanz habe dem nach dem Vertrauensprinzip ausgelegten Verhalten der Parteien eine unrichtige Bedeutung zugemessen. Damit beanstandet sie die falsche Anwendung von Grundsätzen der Rechtsprechung (siehe BGE 123 III 53 E. 5a; sodann BGE 144 III 93 E. 5.2.3, 43 E. 3.3 und Urteil 4A_589/2011 vom 5. April 2012 E. 8.1, nicht publ. in: BGE 138 III 304 ; je mit Hinweisen) auf den vorliegenden Sachverhalt. Daran ändert auch die Behauptung nichts, das vorinstanzliche, für den konkreten Fall gefundene Auslegungsergebnis führe zu einer erheblichen Rechtsunsicherheit. Die Beschwerde in Zivilsachen ist nicht zulässig.</w:t>
      </w:r>
    </w:p>
    <w:p>
      <w:r>
        <w:rPr>
          <w:b/>
        </w:rPr>
        <w:t>E. 2.1</w:t>
      </w:r>
    </w:p>
    <w:p>
      <w:r>
        <w:t>Folglich steht die von der Beschwerdeführerin ebenfalls erhobene subsidiäre Verfassungsbeschwerde im Sinne der Art. 113-119 BGG offen.</w:t>
      </w:r>
    </w:p>
    <w:p>
      <w:r>
        <w:rPr>
          <w:b/>
        </w:rPr>
        <w:t>E. 2.2</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2.3</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weiteren Hinweisen).</w:t>
      </w:r>
    </w:p>
    <w:p>
      <w:r>
        <w:t>Die Beschwerdeführerin kann daher insoweit nicht gehört werden, als sie in ihrer Beschwerde den streitgegenständlichen Sachverhalt und die Prozessgeschichte aus eigener Sicht darstellt und dabei von den tatsächlichen Feststellungen im angefochtenen Urteil abweicht, ohne im Einzelnen hinreichend begründete Sachverhaltsrügen gemäss den eben dargelegten Grundsätzen zu formulieren.</w:t>
      </w:r>
    </w:p>
    <w:p>
      <w:r>
        <w:rPr>
          <w:b/>
        </w:rPr>
        <w:t>E. 3</w:t>
      </w:r>
    </w:p>
    <w:p>
      <w:r>
        <w:t>Das Bezirksgericht prüfte, ob die Parteien die Vereinbarung vom 24. April 2007 vertraglich aufgehoben hatten. Es erwog zusammengefasst, dass die Erklärungen der Parteien nach dem Vertrauensprinzip auszulegen seien, da deren tatsächlicher Wille nicht festgestellt werden könne. Die vereinbarte fünfjährige Werbelaufzeit habe am 5. Februar 2008 begonnen. Mangels Kündigung habe sich der Vertrag nach Ablauf dieser Laufzeit - das heisst ab dem 5. Februar 2013 - automatisch verlängert. In der Folge sei die Beschwerdegegnerin indes von der Beschwerdeführerin nicht kontaktiert und die Werbung nicht zur Auslieferung gebracht worden. Die Beschwerdegegnerin habe deshalb spätestens nach Ablauf von 36 Monaten (also am 5. Februar 2016) davon ausgehen müssen, dass entweder nicht genügend Interessenten für Werbeflächen gefunden worden seien (womit ein Fall von Ziff. 16 AGB eingetreten und der Vertrag dahingefallen wäre) oder die Beschwerdeführerin an der Weiterführung des Vertrags vom 24. April 2007 nicht mehr interessiert sei. Die Beschwerdegegnerin habe dieses Verhalten nur als Offerte zur Vertragsaufhebung verstehen können und diese nach zwei weiteren Monaten stillschweigend akzeptiert. Folglich sei der Aufhebungsvertrag spätestens am 5. April 2016 zustande gekommen und fehle es an einer Grundlage für die eingeklagte Forderung. Das Obergericht schloss sich diesen Erwägungen an.</w:t>
      </w:r>
    </w:p>
    <w:p>
      <w:r>
        <w:rPr>
          <w:b/>
        </w:rPr>
        <w:t>E. 4</w:t>
      </w:r>
    </w:p>
    <w:p>
      <w:r>
        <w:t>Die Beschwerdeführerin rügt eine Verletzung des Anspruchs auf rechtliches Gehör ( Art. 29 Abs. 2 BV ).</w:t>
      </w:r>
    </w:p>
    <w:p>
      <w:r>
        <w:t>Zur Begründung stellt sie verschiedene rechtliche Argumente in den Raum, mit denen sich die Vorinstanz nicht auseinandergesetzt habe. Soweit sie nicht mit präzisen Aktenhinweisen darlegt, dass sie diese bereits vor Obergericht vorgebracht hat, ist sie von vornherein nicht zu hören.</w:t>
      </w:r>
    </w:p>
    <w:p>
      <w:r>
        <w:t>In der Sache geht ihr Vorwurf ins Leere. Im Kern begründet sie diesen nämlich damit, dass das Obergericht ihrer Rechtsauffassung nicht folgte. Dies stellt keine Gehörsverletzung dar (siehe etwa Urteil 4A_36/2019 vom 21. Februar 2019 E. 5.4). So greift sie die vorinstanzliche Erwägung an, wonach das Verhalten der Parteien nach Vertragsabschluss für die Auslegung nach dem Vertrauensprinzip nicht von Bedeutung sei. Damit - so die Beschwerdeführerin - verkenne das Obergericht, dass aus dem nachträglichen Parteiverhalten "Rückschlüsse auf die Willenslage bei Vertragsschluss zu ziehen" seien. Die in diesem Zusammenhang stehenden Vorbringen seien von der Vorinstanz in Verletzung von Art. 29 Abs. 2 BV nicht berücksichtigt worden. Damit übt die Beschwerdeführerin Kritik an der vorinstanzlichen Rechtsanwendung, erhebt aber keine Verfassungsrüge. Gleich verhält es sich, wenn sie behauptet, das Obergericht habe den ersten Satz von Ziff. 3 lit. g AGB nicht (in ihrem Sinn) berücksichtigt. Sowohl das Bezirks- als auch das Obergericht haben sich eingehend mit Ziff. 3 lit. g AGB beschäftigt, daraus indes andere Schlüsse gezogen, als dies die Beschwerdeführerin tut. Eine Verletzung des Anspruchs auf rechtliches Gehör ist nicht auszumachen.</w:t>
      </w:r>
    </w:p>
    <w:p>
      <w:r>
        <w:rPr>
          <w:b/>
        </w:rPr>
        <w:t>E. 5</w:t>
      </w:r>
    </w:p>
    <w:p>
      <w:r>
        <w:t>Schliesslich meint die Beschwerdeführerin, das angefochtene Urteil sei willkürlich.</w:t>
      </w:r>
    </w:p>
    <w:p>
      <w:r>
        <w:rPr>
          <w:b/>
        </w:rPr>
        <w:t>E. 5.1</w:t>
      </w:r>
    </w:p>
    <w:p>
      <w:r>
        <w:t>Sie führt aus, es sei offensichtlich unhaltbar, dass die Vorinstanz "bei zwei stillschweigenden Parteien einen Vertragsaufhebungsvertrag" konstruiere, "obwohl nicht einmal konkludente Handlungen" vorlägen. Dies laufe "dem Gedanken und Prinzip der Rechtssicherheit" zuwider und verletze die Art. 6 und Art. 18 OR "in krasser Weise".</w:t>
      </w:r>
    </w:p>
    <w:p>
      <w:r>
        <w:rPr>
          <w:b/>
        </w:rPr>
        <w:t>E. 5.2</w:t>
      </w:r>
    </w:p>
    <w:p>
      <w:r>
        <w:t>Zum Abschluss eines Vertrags ist die übereinstimmende gegenseitige Willensäusserung der Parteien erforderlich ( Art. 1 Abs. 1 OR ). Sie kann eine ausdrückliche oder stillschweigende sein ( Art. 1 Abs. 2 OR ). Es ist unter Willkürgesichtspunkten nicht zu beanstanden, wenn die Vorinstanz diese Grundsätze auch auf den Aufhebungsvertrag angewandt hat (siehe Urteile 4A_145/2016 vom 19. Juli 2016 E. 3.2; 4A_125/2009 vom 2. Juni 2009 E. 3.3; je mit Hinweisen).</w:t>
      </w:r>
    </w:p>
    <w:p>
      <w:r>
        <w:rPr>
          <w:b/>
        </w:rPr>
        <w:t>E. 5.3.1</w:t>
      </w:r>
    </w:p>
    <w:p>
      <w:r>
        <w:t>Im schweizerischen Vertragsrecht gilt bei Fragen des Konsenses und der Auslegung der Grundsatz des Primats des subjektiv übereinstimmend Gewollten vor dem objektiv Erklärten, subjektiv aber unterschiedlich Verstandenen.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144 III 93 E. 5.2.3, 43 E. 3.3; 143 III 157 E. 1.2.2; 138 III 659 E. 4.2.1 S. 666; je mit Hinweisen). Dabei entscheidet das Vertrauensprinzip auch darüber, ob überhaupt eine Willenserklärung vorliegt (Urteil 4A_456/2009 vom 3. Mai 2010 E. 3.3.1 mit Hinweisen).</w:t>
      </w:r>
    </w:p>
    <w:p>
      <w:r>
        <w:rPr>
          <w:b/>
        </w:rPr>
        <w:t>E. 5.3.2</w:t>
      </w:r>
    </w:p>
    <w:p>
      <w:r>
        <w:t>Die Beschwerdeführerin legt ihre eigene Interpretation der massgeblichen Vertragsklauseln und des Verhaltens der Parteien dar, womit sie die Begründung des Obergerichts nicht als willkürlich auszuweisen vermag. So verhält es sich namentlich mit ihrem wiederholten Hinweis, der Wille zur Vertragsaufhebung sei von den Parteien nicht "klar zum Ausdruck" gebracht worden, ihrer freien Auseinandersetzung mit Ziff. 3 lit. g sowie Ziff. 16 AGB und ihrer Behauptung, sie sei in der fraglichen Zeit nicht untätig geblieben, sondern habe "ein Fahrzeug für die zweite Vertragsperiode organisiert und zahlreiche Neukunden akquiriert", ohne hinreichend darzulegen, inwiefern diese Vorkehren für die Beschwerdegegnerin überhaupt erkennbar gewesen wären. Das Obergericht durfte vielmehr ohne in Willkür zu verfallen berücksichtigen, dass nicht ein einseitiger Erlass einer Schuld, sondern die Aufhebung eines ganzen Vertragsverhältnisses in Frage steht, die sowohl die Pflicht der Beschwerdeführerin, Werbemassnahmen zu treffen, als auch die Pflicht der Beschwerdegegnerin, ein Entgelt zu erbringen, betrifft. Weiter legte es seinen Überlegungen den Umstand zugrunde, dass an ununterbrochenen Werbemassnahmen ein besonderes Interesse besteht. Es hält vor dem Willkürverbot stand, wenn das Schweigen der Parteien in diesem Lichte gewürdigt wird. Die Vorinstanz leitete sodann willkürfrei aus Ziff. 3 lit. g AGB ab, dass sich die Beschwerdeführerin innert der "Bearbeitungszeit" von höchstens 12 Monaten ab Vertragsverlängerung bei der Beschwerdegegnerin hätte melden müssen und die Beschwerdegegnerin ihrerseits gehalten gewesen wäre, die Beschwerdeführerin nach Ablauf dieser Zeit abzumahnen und eine zweimonatige Frist anzusetzen. Vor diesem Hintergrund ist die Folgerung nicht offensichtlich unhaltbar, die Beschwerdegegnerin habe aus dem über 36 Monate dauernden Schweigen der Beschwerdeführerin nach Treu und Glauben auf einen Willen zur Aufhebung des Vertrags vom 24. April 2007 schliessen dürfen. Gleich verhält es sich betreffend das Schweigen der Beschwerdegegnerin, die ebenfalls entgegen dem in Ziff. 3 lit. g AGB vorgesehenen Prozedere nicht reagierte. Schliesslich liegt auch keine Willkür vor, wenn das Obergericht das Verhalten der Parteien</w:t>
      </w:r>
    </w:p>
    <w:p>
      <w:r>
        <w:t>nach dem 5. April 2016 bei der Auslegung nach dem Vertrauensprinzip nicht berücksichtigte (siehe BGE 132 III 626 E. 3.1 mit Hinweisen).</w:t>
      </w:r>
    </w:p>
    <w:p>
      <w:r>
        <w:rPr>
          <w:b/>
        </w:rPr>
        <w:t>E. 5.4</w:t>
      </w:r>
    </w:p>
    <w:p>
      <w:r>
        <w:t>Zusammengefasst ist es jedenfalls nicht verfassungswidrig, wenn die Vorinstanz den Abschluss eines Aufhebungsvertrags bejaht und die Klageabweisung daher geschützt hat.</w:t>
      </w:r>
    </w:p>
    <w:p>
      <w:r>
        <w:rPr>
          <w:b/>
        </w:rPr>
        <w:t>E. 6</w:t>
      </w:r>
    </w:p>
    <w:p>
      <w:r>
        <w:t>Die Beschwerde ist abzuweisen, soweit darauf eingetreten werden kann. Dem Ausgang des Verfahrens entsprechend wird die Beschwerdeführerin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