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4A_193/2014 vom 31. Oktober 2014</w:t>
      </w:r>
    </w:p>
    <w:p>
      <w:r>
        <w:t>Bundesgericht, 2014-10-31, FR</w:t>
      </w:r>
    </w:p>
    <w:p>
      <w:r>
        <w:rPr>
          <w:b/>
        </w:rPr>
        <w:t xml:space="preserve">Quelle: </w:t>
      </w:r>
      <w:r>
        <w:t>https://mcp.opencaselaw.ch/entscheid/bger_4A_193_2014</w:t>
      </w:r>
    </w:p>
    <w:p>
      <w:r>
        <w:t>FR: TF 4A_193/2014 du 31 octobre 2014</w:t>
      </w:r>
    </w:p>
    <w:p>
      <w:r>
        <w:t>IT: TF 4A_193/2014 del 31 ottobre 2014</w:t>
      </w:r>
    </w:p>
    <w:p>
      <w:pPr>
        <w:pStyle w:val="Heading2"/>
      </w:pPr>
      <w:r>
        <w:t>Erwägungen</w:t>
      </w:r>
    </w:p>
    <w:p>
      <w:r>
        <w:rPr>
          <w:b/>
        </w:rPr>
        <w:t>E. 1</w:t>
      </w:r>
    </w:p>
    <w:p>
      <w:r>
        <w:t>Sur requête de la locataire, la Présidente du Tribunal des baux a ordonné l'exécution de la transaction judiciaire par un tiers ( art. 343 al. 1 let . e CPC). Elle a donné mandat au tiers de procéder, sous son autorité, à l'évacuation des locaux et l'a invité à lui adresser sa facture. Elle ne s'est donc pas limitée à autoriser la locataire à mandater elle-même un tiers.</w:t>
      </w:r>
    </w:p>
    <w:p>
      <w:r>
        <w:t>A défaut de disposition spécifique, les coûts de l'intervention d'un tiers mandaté par le juge doivent être considérés comme des frais judiciaires ( art. 95 al. 2 CPC ; DROESEet ZINSLI, in Basler Kommentar, 2</w:t>
      </w:r>
    </w:p>
    <w:p>
      <w:r>
        <w:t>e éd. 2013, n° 19 ad art. 339 et n° 31 ad art. 343 CPC ). La partie requérante peut être appelée à les avancer ( art. 98 CPC ; NICOLAS JEANDIN, in CPC, Code de procédure civile commenté, 2011, n° 16 ad art. 343 CPC ; FRANZ KELLERHALS, in Berner Kommentar, 2012, n° 63 ad art. 343 CPC ), et la partie contre qui l'exécution est ordonnée devra les supporter ( art. 106 al. 1 CPC ). Selon plusieurs auteurs, qui se réfèrent à la jurisprudence relative à l' art. 98 CO ( ATF 128 III 416 consid. 4.2.2), le créancier doit aussi pouvoir exiger une avance de frais du débiteur (cf. notamment ZINSLI, op. cit., n° 32 ad art. 343 CPC ; KELLERHALS, op. cit., n° 76 ad art. 343 CPC ; ROHNER/JENNY, in Schweizerische Zivilprozessordnung [ZPO] Kommentar, BRUNNER ET ALII ÉD., 2011, n° 24 ad art. 343 CPC ). Il appartient au juge de l'exécution de fixer le montant des frais dans sa décision finale ( art. 104 al. 1 et art. 105 al. 1 CPC ; cf. aussi art. 345 al. 2 CPC , applicable par analogie selon STAEHELIN ET ALII, Zivilprozessrecht, 2</w:t>
      </w:r>
    </w:p>
    <w:p>
      <w:r>
        <w:t>e éd. 2013, p. 572 n. 48; ZINSLI, op. cit., n° 31 ad art. 343 CPC ; KELLERHALS, op. cit., n° 77 ad art. 343 CPC ); dite décision est susceptible de recours ( art. 309 let. a et art. 319 let. a CPC ).</w:t>
      </w:r>
    </w:p>
    <w:p>
      <w:r>
        <w:t>La valeur litigieuse déterminante pour la voie de recours au Tribunal fédéral correspond aux conclusions restées litigieuses devant l'autorité précédente ( art. 51 al. 1 let. a LTF ). Dès lors que seul le montant des frais était discuté devant l'autorité précédente, la valeur litigieuse correspond aux frais contestés, à savoir 120'124 fr. (230'124 fr. - 110'000 fr.). La voie du recours en matière civile est ouverte ( art. 74 al. 1 let. b LTF ). Le recours constitutionnel subsidiaire introduit en parallèle est partant irrecevable ( art. 113 LTF ).</w:t>
      </w:r>
    </w:p>
    <w:p>
      <w:r>
        <w:rPr>
          <w:b/>
        </w:rPr>
        <w:t>E. 2</w:t>
      </w:r>
    </w:p>
    <w:p>
      <w:r>
        <w:t>Le bailleur recourant se plaint d'une violation de son droit d'être entendu, plus précisément de son droit à la preuve ( art. 29 al. 2 Cst. ; art. 53 et 152 CPC ). Il reproche à l'autorité précédente d'avoir rejeté ce grief adressé au juge de première instance.</w:t>
      </w:r>
    </w:p>
    <w:p>
      <w:r>
        <w:t>Le bailleur avait élevé devant le juge de première instance une série d'objections conséquentes contre les factures du tiers et requis des mesures d'instruction. En particulier, il contestait, motifs à l'appui, le nombre d'heures facturées, relevant par exemple que d'après les factures, le tiers se serait rendu sur les lieux de l'exécution à raison de 31 jours durant le mois de juillet 2012, ce qui ne pouvait pas correspondre à la réalité. Le juge de première instance n'a pas discuté ces objections ni donné suite aux requêtes de preuves, au motif que l'huissier avait passé de très nombreuses heures sur les lieux de l'exécution afin de vérifier le bon déroulement des opérations, qu'il avait attentivement examiné les factures du tiers et qu'il avait retranché les postes erronés. L'autorité précédente a jugé que ce faisant, le juge de première instance n'avait pas violé le droit d'être entendu du bailleur; elle a rappelé que d'après la jurisprudence,le juge n'avait pas à discuter tous les griefs du recourant, qu'il pouvait se limiter à ceux qui, sans arbitraire, lui paraissaient pertinents, et qu'il pouvait refuser un moyen de preuve s'il s'estimait déjà suffisamment renseigné.</w:t>
      </w:r>
    </w:p>
    <w:p>
      <w:r>
        <w:t>Le droit à la preuve est une composante du droit d'être entendu. Il comprend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133 I 270 consid. 3.1; 133 III 295 consid. 7.1). L'autorité peut cependant renoncer à procéder à des mesures d'instruction lorsque les preuves administrées lui ont permis de former sa conviction et que, procédant de manière non arbitraire à une appréciation anticipée des preuves qui lui sont encore proposées, elle a la certitude que ces dernières ne pourraient l'amener à modifier son opinion ( ATF 136 I 229 consid. 5.3; 138 III 374 consid. 4.3.1 i.f. p. 376). Le droit d'être entendu implique en outre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133 I 270 consid. 3.1).</w:t>
      </w:r>
    </w:p>
    <w:p>
      <w:r>
        <w:t>Le juge peut certes rejeter des moyens de preuve s'il les estime sans pertinence ensuite d'une appréciation anticipée non arbitraire; mais encore faut-il qu'il procède à une appréciation anticipée et la motive. En l'espèce, ni l'autorité précédente ni le juge de première instance ne se sont penchés sur les objections et offres de preuve du bailleur; du moins, rien dans ce sens ne ressort de leurs décisions. Les autorités cantonales se fondent sur le fait que l'huissier a passé de très nombreuses heures sur place à surveiller les travaux; on ne discerne pas en quoi cela impliquerait que les heures facturées ont toutes été accomplies et que les objections du recourant sont infondées. Les autorités cantonales invoquent aussi le contrôle des factures par l'huissier, qui aurait écarté certains postes erronés, ce qui, soit dit en passant, sous-entend tout de même que la facture n'était pas entièrement correcte; mais elles ne donnent aucun détail, ni surtout leur propre appréciation de ce contrôle, et semblent s'en être remises aveuglément à l'avis de l'huissier. Dans ces circonstances, on ne saurait retenir que le juge a procédé à une appréciation anticipée des requêtes du bailleur, ni a fortiori qu'il l'a faite de manière non arbitraire. Le grief du bailleur est fondé.</w:t>
      </w:r>
    </w:p>
    <w:p>
      <w:r>
        <w:rPr>
          <w:b/>
        </w:rPr>
        <w:t>E. 3</w:t>
      </w:r>
    </w:p>
    <w:p>
      <w:r>
        <w:t>Il s'ensuit l'admission du recours en matière civile, sans qu'il soit nécessaire d'examiner les autres griefs du bailleur ni de se prononcer sur les objections de l'entreprise C.________. L'arrêt attaqué est partant annulé et la cause renvoyée à la Chambre des recours pour instruction et nouvelle décision.</w:t>
      </w:r>
    </w:p>
    <w:p>
      <w:r>
        <w:t>La locataire, qui succombe, supportera les frais et dépens de la présente procédure (art. 66 al. 1 et art. 68 al. 1 et 2 LTF ). L'entreprise C.________, qui n'est pas une partie et s'est expliquée sans prendre de conclusions, n'a pas à participer au paiement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