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4A_192/2012 vom 25. Mai 2012</w:t>
      </w:r>
    </w:p>
    <w:p>
      <w:r>
        <w:t>Bundesgericht, 2012-05-25, DE</w:t>
      </w:r>
    </w:p>
    <w:p>
      <w:r>
        <w:rPr>
          <w:b/>
        </w:rPr>
        <w:t xml:space="preserve">Quelle: </w:t>
      </w:r>
      <w:r>
        <w:t>https://mcp.opencaselaw.ch/entscheid/bger_4A_192_2012</w:t>
      </w:r>
    </w:p>
    <w:p>
      <w:r>
        <w:t>FR: TF 4A_192/2012 du 25 mai 2012</w:t>
      </w:r>
    </w:p>
    <w:p>
      <w:r>
        <w:t>IT: TF 4A_192/2012 del 25 maggio 2012</w:t>
      </w:r>
    </w:p>
    <w:p>
      <w:pPr>
        <w:pStyle w:val="Heading2"/>
      </w:pPr>
      <w:r>
        <w:t>Volltext</w:t>
      </w:r>
    </w:p>
    <w:p>
      <w:r>
        <w:t>Bundesgericht</w:t>
      </w:r>
    </w:p>
    <w:p>
      <w:r>
        <w:t>Tribunal fédéral</w:t>
      </w:r>
    </w:p>
    <w:p>
      <w:r>
        <w:t>Tribunale federale</w:t>
      </w:r>
    </w:p>
    <w:p>
      <w:r>
        <w:t>Tribunal federal</w:t>
      </w:r>
    </w:p>
    <w:p>
      <w:r>
        <w:t>{T 0/2}</w:t>
      </w:r>
    </w:p>
    <w:p>
      <w:r>
        <w:t>4A_192/2012</w:t>
      </w:r>
    </w:p>
    <w:p>
      <w:r>
        <w:t>Urteil vom 25. Mai 2012</w:t>
      </w:r>
    </w:p>
    <w:p>
      <w:r>
        <w:t>I. zivilrechtliche Abteilung</w:t>
      </w:r>
    </w:p>
    <w:p>
      <w:r>
        <w:t>Besetzung</w:t>
      </w:r>
    </w:p>
    <w:p>
      <w:r>
        <w:t>Bundesrichterin Klett, Präsidentin,</w:t>
      </w:r>
    </w:p>
    <w:p>
      <w:r>
        <w:t>Gerichtsschreiber Huguenin.</w:t>
      </w:r>
    </w:p>
    <w:p>
      <w:r>
        <w:t>Verfahrensbeteiligte</w:t>
      </w:r>
    </w:p>
    <w:p>
      <w:r>
        <w:t>A.________,</w:t>
      </w:r>
    </w:p>
    <w:p>
      <w:r>
        <w:t>Beschwerdeführerin,</w:t>
      </w:r>
    </w:p>
    <w:p>
      <w:r>
        <w:t>gegen</w:t>
      </w:r>
    </w:p>
    <w:p>
      <w:r>
        <w:t>B.________,</w:t>
      </w:r>
    </w:p>
    <w:p>
      <w:r>
        <w:t>vertreten durch Rechtsanwalt Dr. Andreas Käser,</w:t>
      </w:r>
    </w:p>
    <w:p>
      <w:r>
        <w:t>Beschwerdegegner.</w:t>
      </w:r>
    </w:p>
    <w:p>
      <w:r>
        <w:t>Gegenstand</w:t>
      </w:r>
    </w:p>
    <w:p>
      <w:r>
        <w:t>mietrechtliche Streitigkeit,</w:t>
      </w:r>
    </w:p>
    <w:p>
      <w:r>
        <w:t>Beschwerde gegen den Zirkularentscheid des Obergerichts des Kantons Thurgau vom 23. Februar 2012.</w:t>
      </w:r>
    </w:p>
    <w:p>
      <w:r>
        <w:t>In Erwägung,</w:t>
      </w:r>
    </w:p>
    <w:p>
      <w:r>
        <w:t>dass die Schlichtungsbehörde für Mietsachen der Gemeinde Bürglen mit Entscheid vom 16. Januar 2012 auf das Begehren der Beschwerdeführerin um Erstreckung des Mietverhältnisses und um Anfechtung der Kündigung nicht eintrat;</w:t>
      </w:r>
    </w:p>
    <w:p>
      <w:r>
        <w:t>dass die Beschwerdeführerin an das Obergericht des Kantons Thurgau gelangte, das mit Zirkularentscheid vom 23. Februar 2012 die Beschwerde abwies und den Entscheid der Schlichtungsbehörde bestätigte;</w:t>
      </w:r>
    </w:p>
    <w:p>
      <w:r>
        <w:t>dass die Beschwerdeführerin dem Bundesgericht eine vom 6. April 2012 datierte Eingabe einreichte, in der sie erklärte, den Entscheid des Obergerichts vom 23. Februar 2012 mit Beschwerde anzufechten;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134 II 244 E. 2.2; 133 II 249 E. 1.4.3 S. 254 f. ; 130 I 258 E. 1.3 S. 261 f.);</w:t>
      </w:r>
    </w:p>
    <w:p>
      <w:r>
        <w:t>dass die Eingabe der Beschwerdeführerin vom 6. April 2012 den erwähnten Begründungsanforderungen offensichtlich nicht genügt, weshalb auf die Beschwerde im Verfahren nach Art. 108 Abs. 1 lit. b BGG nicht einzutreten ist;</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Thurgau schriftlich mitgeteilt.</w:t>
      </w:r>
    </w:p>
    <w:p>
      <w:r>
        <w:t>Lausanne, 25. Mai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