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4A_191/2015 vom 16. Dezember 2015</w:t>
      </w:r>
    </w:p>
    <w:p>
      <w:r>
        <w:t>Bundesgericht, 2015-12-16, FR</w:t>
      </w:r>
    </w:p>
    <w:p>
      <w:r>
        <w:rPr>
          <w:b/>
        </w:rPr>
        <w:t xml:space="preserve">Quelle: </w:t>
      </w:r>
      <w:r>
        <w:t>https://mcp.opencaselaw.ch/entscheid/bger_4A_191_2015</w:t>
      </w:r>
    </w:p>
    <w:p>
      <w:r>
        <w:t>FR: TF 4A_191/2015 du 16 décembre 2015</w:t>
      </w:r>
    </w:p>
    <w:p>
      <w:r>
        <w:t>IT: TF 4A_191/2015 del 16 dicembre 2015</w:t>
      </w:r>
    </w:p>
    <w:p>
      <w:pPr>
        <w:pStyle w:val="Heading2"/>
      </w:pPr>
      <w:r>
        <w:t>Erwägungen</w:t>
      </w:r>
    </w:p>
    <w:p>
      <w:r>
        <w:rPr>
          <w:b/>
        </w:rPr>
        <w:t>E. 1.1</w:t>
      </w:r>
    </w:p>
    <w:p>
      <w:r>
        <w:t>La décision attaquée met fin à la procédure de preuve à futur dans une cause où aucun procès principal au fond n'est pendant. Il s'agit là d'une décision finale au sens de l' art. 90 LTF ( ATF 138 III 46 consid. 1.1). Elle a été rendue en matière civile ( art. 72 LTF ) par un tribunal supérieur d'un canton, qui a statué sur recours ( art. 75 LTF ). L'affaire est de nature pécuniaire, car la requête de preuve à futur poursuit en définitive et principalement un but économique (cf. arrêt 4A_646/2014 du 14 avril 2015 consid. 1.1; arrêt 4A_36/2010 du 20 avril 2010 consid. 1.1; consid. 1.2 non publié de l' ATF 129 III 499 ; cf. également ATF 139 II 404 consid. 12.1 p. 448; 118 II 528 consid. 2c p. 531). La cause atteint manifestement la valeur litigieuse de 30'000 fr. ouvrant le recours en matière civile dans les affaires ne relevant ni du droit du travail ni du droit du bail à loyer ( art. 74 al. 1 let. b LTF ). Au surplus, la recourante n'a pas obtenu gain de cause dans la procédure cantonale ( art. 76 al. 1 LTF ). Déposé dans le délai ( art. 100 al. 1 LTF ) et la forme ( art. 42 LTF ) prévus par la loi, le recours en matière civile est recevable.</w:t>
      </w:r>
    </w:p>
    <w:p>
      <w:r>
        <w:rPr>
          <w:b/>
        </w:rPr>
        <w:t>E. 1.2</w:t>
      </w:r>
    </w:p>
    <w:p>
      <w:r>
        <w:t>Les dispositions sur les mesures provisionnelles sont applicables à la décision portant sur l'administration de preuves à futur ( art. 158 al. 2 CPC ; ATF 138 III 46 consid. 1.1). Seule la violation des droits constitutionnels peut être invoquée dans le recours ( art. 98 LTF ).</w:t>
      </w:r>
    </w:p>
    <w:p>
      <w:r>
        <w:rPr>
          <w:b/>
        </w:rPr>
        <w:t>E. 2</w:t>
      </w:r>
    </w:p>
    <w:p>
      <w:r>
        <w:t>Selon les conditions générales de l'intimée intégrées dans les divers contrats passés avec la recourante, le droit suisse est applicable et le for judiciaire est à Genève. Ces points ne sont pas contestés.</w:t>
      </w:r>
    </w:p>
    <w:p>
      <w:r>
        <w:rPr>
          <w:b/>
        </w:rPr>
        <w:t>E. 3.1</w:t>
      </w:r>
    </w:p>
    <w:p>
      <w:r>
        <w:t>Invoquant l' art. 29 al. 2 Cst. et l' art. 6 par. 1 CEDH , la recourante se plaint d'une violation de son droit d'être entendue, au motif que les juges genevois n'auraient pas tenu compte de ses écritures des 4 et 15 décembre 2014.</w:t>
      </w:r>
    </w:p>
    <w:p>
      <w:r>
        <w:rPr>
          <w:b/>
        </w:rPr>
        <w:t>E. 3.2</w:t>
      </w:r>
    </w:p>
    <w:p>
      <w:r>
        <w:t>Dans la partie "en fait" de l'arrêt attaqué, la cour cantonale relève qu'il y a eu un double échange d'écritures, suivi d'un avis du 26 novembre 2014, indiquant aux parties que la cause était gardée à juger; il n'est pas fait mention des écritures postérieures. Les actes déposés par la recourante le 4 décembre 2014 et par l'intimée le 11 décembre 2014 figurent toutefois dans le dossier de l'autorité précédente, lequel consiste en une simple fourre réunissant les pièces sans index, sans fixation et sans numérotation. La quatrième écriture de la recourante, datée du 15 décembre 2014, ne s'y trouve pas; mais l'intimée en a déposé une copie avec son mémoire de réponse adressé à la cour de céans, copie portant le sceau de transmission de l'autorité précédente. Il est donc manifeste que la cour cantonale a eu cette écriture en mains. La recourante, qui avait accès au dossier, ne le conteste d'ailleurs pas, ce qui scelle la question.</w:t>
      </w:r>
    </w:p>
    <w:p>
      <w:r>
        <w:t>La recourante fonde sa critique sur le seul fait que ses troisième et quatrième écritures ne sont pas expressément citées dans l'arrêt attaqué. L'absence de mention de ces actes ne signifie pas pour autant que l'autorité précédente les a ignorés. La recourante pouvait tenter de démontrer que ces écritures contenaient un argument dont on ne trouve pas trace dans les considérants de l'arrêt cantonal; elle n'en a rien fait, se bornant à affirmer sans autre précision que les écritures en cause contenaient des arguments en fait et en droit pertinents pour le sort de la cause et méritant d'être étudiés par l'autorité cantonale. Dans ces conditions, il ne saurait être retenu, en fait, que les juges précédents ont ignoré ces écritures.</w:t>
      </w:r>
    </w:p>
    <w:p>
      <w:r>
        <w:t>Cette conclusion dispense la cour de céans d'examiner si et, le cas échéant, dans quelle mesure l' art. 29 al. 2 Cst. et l' art. 6 CEDH garantissent le droit à la réplique (cf. ATF 139 I 189 consid. 3.3 p. 192 et consid. 3.5 p. 193) dans une procédure de preuve à futur fondée sur l' art. 158 al. 1 let. b CPC , laquelle ne tend pas à trancher au fond des droits ou des obligations ( ATF 140 III 12 consid. 3.3.3 p. 13 s.; arrêt 4A_334/2015 du 22 septembre 2015 destiné à la publication, consid. 3.3.1 et 4.2.3).</w:t>
      </w:r>
    </w:p>
    <w:p>
      <w:r>
        <w:rPr>
          <w:b/>
        </w:rPr>
        <w:t>E. 4</w:t>
      </w:r>
    </w:p>
    <w:p>
      <w:r>
        <w:t>La recourante se plaint d'une application arbitraire de l' art. 158 al. 1 let. b CPC (en relation avec l' art. 160 CPC ). Selon cette disposition, le tribunal administre les preuves en tout temps lorsque la mise en danger des preuves ou un intérêt digne de protection est rendu vraisemblable par le requérant. La recourante invoque uniquement un intérêt digne de protection. A cet égard, elle explique ne disposer d'aucune information sur les critères qui ont conduit l'intimée à investir dans les fonds litigieux, ni sur l'étendue de l'examen auquel il a été procédé; elle ne serait ainsi pas en mesure de déterminer si, sur la base des éléments alors en mains de la banque, la décision d'investir dans ces fonds était conforme au profil de risque qu'elle avait accepté. L'intérêt de la recourante résiderait dans la possibilité d'évaluer les chances de succès d'une action au fond contre l'intimée, respectivement de prouver la violation par la banque de son devoir de diligence. La recourante ajoute qu'en l'absence de toute information sur l'analyse des risques effectuée en relation avec les placements litigieux, elle n'est pas en mesure d'alléguer plus précisément les faits et, partant, d'introduire une action, ce qui justifierait précisément le dépôt d'une requête de preuve à futur. En ce qui concerne les rétrocessions, la recourante fait valoir un intérêt digne de protection à obtenir, avant d'ouvrir action, les documents lui permettant de vérifier le montant perçu à ce titre par la banque.</w:t>
      </w:r>
    </w:p>
    <w:p>
      <w:r>
        <w:rPr>
          <w:b/>
        </w:rPr>
        <w:t>E. 4.1</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w:t>
      </w:r>
    </w:p>
    <w:p>
      <w:r>
        <w:rPr>
          <w:b/>
        </w:rPr>
        <w:t>E. 4.2</w:t>
      </w:r>
    </w:p>
    <w:p>
      <w:r>
        <w:t>Dans sa requête de preuve à futur, la recourante conclut à la remise par la banque de tous documents, en particulier internes, susceptibles de contenir des renseignements notamment sur l'analyse des risques effectuée en relation avec les "fonds Madoff", sur les décisions prises par les organes chargés de la politique d'investissement, sur les échanges entre les collaborateurs s'occupant de la gestion des fonds confiés, sur le montant des rétrocessions et l'information fournie à ce sujet à la cliente.</w:t>
      </w:r>
    </w:p>
    <w:p>
      <w:r>
        <w:t>Le libellé de ces conclusions pose d'emblée la question de la nature du droit à la production de documents exercé par la recourante.</w:t>
      </w:r>
    </w:p>
    <w:p>
      <w:r>
        <w:rPr>
          <w:b/>
        </w:rPr>
        <w:t>E. 4.2.1</w:t>
      </w:r>
    </w:p>
    <w:p>
      <w:r>
        <w:t>Les parties sont liées par un mandat. Sous le titre général "reddition de compte", l' art. 400 al. 1 CO met à la charge du mandataire l'obligation, envers le mandant, de lui rendre compte de sa gestion (Rechenschaftspflicht) et de lui restituer tout ce qu'il a reçu de ce chef (Ablieferungs- ou Herausgabepflicht). L'obligation de rendre compte comprend l'obligation de renseigner (Informationspflicht) (Rolf H. Weber, in Basler Kommentar, Obligationenrecht, vol. I, 6e éd. 2015, n° 2 ss ad art. 400 CO ; Franz Werro, in Commentaire romand, Code des obligations vol. I, 2e éd. 2012, n° 4 ad art. 400 CO ). Le droit à l'information doit permettre au mandant de vérifier si les activités du mandataire correspondent à une bonne et fidèle exécution du mandat ( ATF 139 III 49 consid. 4.1.2 p. 54; 110 II 181 consid. 2 p. 182) et, le cas échéant, de réclamer des dommages-intérêts fondés sur la responsabilité du mandataire ( ATF 110 II 181 consid. 2 p. 182; cf. également ATF 138 III 425 consid. 6.4 p. 435). Grâce à l'information obtenue, le mandant connaîtra également l'objet de l'obligation de restitution ( ATF 139 III 49 consid. 4.1.2 p. 54; 110 II 181 consid. 2 p. 182). Le devoir de renseigner peut porter sur la teneur de documents internes pour autant qu'elle soit pertinente pour contrôler les activités du mandataire ( ATF 139 III 49 consid. 4.1.3 p. 56).</w:t>
      </w:r>
    </w:p>
    <w:p>
      <w:r>
        <w:t>En l'espèce, comme elle le reconnaît dans son recours, la mandante ne dispose d'aucune information lui permettant de déterminer le degré de diligence dont la banque a fait preuve au moment d'investir dans les fonds litigieux; or, la violation de l'obligation de diligence constitue l'une des conditions de la responsabilité de la banque. La recourante ne connaît pas non plus le montant des rétrocessions soumises à l'obligation de restitution de l'intimée. Dans les conclusions de sa requête de preuve à futur, la mandante entend obtenir de la mandataire un nombre indéterminé de documents, décrits de manière très générale, qui seraient susceptibles de lui fournir, sur ces deux points, des renseignements lui permettant, le cas échéant, de fonder des prétentions en dommages-intérêts et en restitution de rétrocessions.</w:t>
      </w:r>
    </w:p>
    <w:p>
      <w:r>
        <w:t>La recourante cherche à recueillir ainsi des informations sur la manière dont la banque a accompli ses activités en rapport avec le mandat, plus particulièrement lors du choix et du suivi des investissements dans les "fonds Madoff". Ce faisant, elle exerce manifestement le droit à la reddition de compte tel que défini plus haut.</w:t>
      </w:r>
    </w:p>
    <w:p>
      <w:r>
        <w:rPr>
          <w:b/>
        </w:rPr>
        <w:t>E. 4.2.2</w:t>
      </w:r>
    </w:p>
    <w:p>
      <w:r>
        <w:t>Le droit à la reddition de compte fondé sur l' art. 400 al. 1 CO est une prétention de droit matériel, et non un droit de nature procédurale (cf. arrêt 5A_768/2012 du 17 mai 2013 consid. 4.1). En tant que droit accessoire indépendant, il peut faire l'objet d'une action en exécution. En ordonnant au mandataire de fournir l'information ou les documents requis, le juge règle définitivement le sort de la prétention, qui "s'épuise" avec la communication des renseignements ou des pièces (cf. ATF 138 III 728 consid. 2.7 p. 732 s.). Le jugement, revêtu de l'autorité de la chose jugée, doit être rendu après un examen complet en fait et en droit (cf. arrêt précité du 17 mai 2013 consid. 4.1).</w:t>
      </w:r>
    </w:p>
    <w:p>
      <w:r>
        <w:t>Selon la jurisprudence, le juge ne peut pas ordonner par voie provisionnelle une mesure qui, par sa nature, implique un jugement définitif de la prétention à protéger, comme la reddition de compte au sens de l' art. 400 al. 1 CO (cf. ATF 138 III 728 consid. 2.7 p. 732 s.; pour le droit à la consultation des comptes de la SA [ art. 697h CO ], ATF 120 II 352 consid. 2b p. 355).</w:t>
      </w:r>
    </w:p>
    <w:p>
      <w:r>
        <w:t>De même, la procédure de preuve à futur en vue d'évaluer les chances de succès d'une action future ne peut pas être utilisée pour faire valoir une prétention en reddition de compte contestée par la partie adverse (cf. Gasser/Rickli, Schweizerische Zivilprozessordnung [ZPO] Kurzkommentar, 2e éd. 2014, n. 6 ad art. 85 CPC p. 85 s.). En effet, saisi d'une requête fondée sur l'art. 158 al. 1 let. b in fine CPC, le juge examine uniquement, sous l'angle de la vraisemblance, si le requérant dispose d'un intérêt digne de protection à l'administration de la preuve requise; il ne rend pas un jugement définitif sur un droit matériel (cf. ATF 140 III 12 consid. 3.3.3 p. 13 s.; arrêt 4A_334/2015 du 22 septembre 2015 destiné à la publication, consid. 3.3.1 et 4.2.3), après un examen complet en fait et en droit.</w:t>
      </w:r>
    </w:p>
    <w:p>
      <w:r>
        <w:t>En résumé, la voie de la preuve à futur n'est pas ouverte pour faire valoir le droit que la recourante invoque en réalité, à savoir une prétention en reddition de compte fondée sur l' art. 400 al. 1 CO . Il s'ensuit que les juges genevois n'ont pas appliqué l' art. 158 al. 1 let. b CPC de manière arbitraire en confirmant l'ordonnance rejetant la requête de preuve à futur.</w:t>
      </w:r>
    </w:p>
    <w:p>
      <w:r>
        <w:rPr>
          <w:b/>
        </w:rPr>
        <w:t>E. 5</w:t>
      </w:r>
    </w:p>
    <w:p>
      <w:r>
        <w:t>Sur le vu de ce qui précède, le recours sera rejeté.</w:t>
      </w:r>
    </w:p>
    <w:p>
      <w:r>
        <w:t>La recourante prendra à sa charge les frais et dépens de la procédure (art. 66 al. 1, art. 68 al. 1 et 2 LTF ). En ce qui concerne le montant des frais, la recourante soutient que la présente affaire doit être traitée comme une contestation non pécuniaire au sens de l' art. 65 al. 3 let. a LTF et du ch. 2 du Tarif des émoluments judiciaires du Tribunal fédéral (RS 173.110.210.1).</w:t>
      </w:r>
    </w:p>
    <w:p>
      <w:r>
        <w:t>Il n'en est rien (cf. consid. 1.1 supra). Cela étant, dans les affaires pécuniaires, la valeur litigieuse est certes l'un des facteurs qui, en principe, entrent en ligne de compte pour calculer l'émolument judiciaire, mais d'autres éléments peuvent intervenir (cf. art. 65 al. 2 LTF ). Dans une procédure de preuve à futur, la valeur litigieuse du procès envisagé au fond ne saurait être déterminante à elle seule. Dans la mesure où la preuve à futur tend à éviter les procès dénués de chances de succès, l'émolument sera, dans ce cas-là, nécessairement réduit par rapport à celui qui serait prélevé dans le procès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