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191/2013 vom 5. August 2013</w:t>
      </w:r>
    </w:p>
    <w:p>
      <w:r>
        <w:t>Bundesgericht, 2013-08-05, FR</w:t>
      </w:r>
    </w:p>
    <w:p>
      <w:r>
        <w:rPr>
          <w:b/>
        </w:rPr>
        <w:t xml:space="preserve">Quelle: </w:t>
      </w:r>
      <w:r>
        <w:t>https://mcp.opencaselaw.ch/entscheid/bger_4A_191_2013</w:t>
      </w:r>
    </w:p>
    <w:p>
      <w:r>
        <w:t>FR: TF 4A 191/2013 du 5 août 2013</w:t>
      </w:r>
    </w:p>
    <w:p>
      <w:r>
        <w:t>IT: TF 4A 191/2013 del 5 agosto 2013</w:t>
      </w:r>
    </w:p>
    <w:p>
      <w:pPr>
        <w:pStyle w:val="Heading2"/>
      </w:pPr>
      <w:r>
        <w:t>Regeste</w:t>
      </w:r>
    </w:p>
    <w:p>
      <w:r>
        <w:t>interprétation d'une transaction extrajudiciaire; effet de cette transaction pour les débiteurs solidaires; cession de créances, | Droit des contrats</w:t>
      </w:r>
    </w:p>
    <w:p>
      <w:pPr>
        <w:pStyle w:val="Heading2"/>
      </w:pPr>
      <w:r>
        <w:t>Erwägungen</w:t>
      </w:r>
    </w:p>
    <w:p>
      <w:r>
        <w:rPr>
          <w:b/>
        </w:rPr>
        <w:t>E. 1.1</w:t>
      </w:r>
    </w:p>
    <w:p>
      <w:r>
        <w:t>Interjeté par la partie demanderesse qui a entièrement succombé dans ses conclusions en paiement et qui a ainsi la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 Le Tribunal fédéral applique d'office le droit dont il peut contrôler le respect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137 II 313 consid. 1.4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ce qui correspond à la notion d'arbitraire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L'intimé Y.________ étant domicilié en Syrie lorsque le recourant a ouvert action le 30 mai 2007 singulièrement à son encontre, la cause revêt un caractère international ( ATF 131 III 76 consid. 2). Saisi d'un recours en matière civile, le Tribunal fédéral doit contrôler d'office la question du droit applicable, laquelle se résout selon la loi du for, soit en l'occurrence la loi fédérale du 18 décembre 1987 sur le droit international privé (LDIP; ATF 137 III 481 consid. 2.1). L'arrêt cantonal, à l'instar du jugement de première instance, a esquivé la question du droit applicable. Il résulte toutefois du dossier que chacune des parties au litige, toutes représentées par un avocat, se sont référées expressément au droit interne suisse. Les deux instances cantonales, qui ont successivement examiné la cause, ont fait application de ce même droit. Il faut en conclure qu'il est intervenu, à un certain moment, une élection de droit en faveur du droit suisse ( art. 116 LDIP ). A tout le moins, il sied de déduire de l'attitude des parties en l'espèce la manifestation d'une élection de droit tacite, mais consciente (cf. ATF 130 III 417 consid. 2.2.1 p. 423 et les références; cf. FRANÇOIS KNOEPFLER ET AL., Droit international privé suisse, 3e éd. 2005, n. 503a p. 256 s.).</w:t>
      </w:r>
    </w:p>
    <w:p>
      <w:r>
        <w:rPr>
          <w:b/>
        </w:rPr>
        <w:t>E. 3</w:t>
      </w:r>
    </w:p>
    <w:p>
      <w:r>
        <w:t>Il ressort de l'arrêt attaqué que la Cour d'appel a tout d'abord examiné si la convention signée le 2 novembre 1995 par le recourant et l'intimé n° 1 pouvait concerner les prétentions émises aujourd'hui par celui-là. Elle a admis qu'il n'était pas établi que le recourant disposait le 2 novembre 1995 des éléments l'autorisant à tenir pour possible une créance en dommages-intérêts contre notamment l'intimé n° 1 résultant de la violation par ce dernier, administrateur de fait de V.________ SA, de ses devoirs de gestion. Le recourant pouvait au contraire considérer de bonne foi que l'accord en question ne concernait que les dettes ou rapports juridiques existant lors de sa conclusion. Ainsi, contrairement à l'avis exprimé par la Juge instructeur de la Ie Cour civile dans son jugement du 23 août 2011, la Cour d'appel a retenu que la convention du 2 novembre 1995 n'avait pas pour effet d'empêcher le recourant de faire valoir les prétentions qui sont l'objet de la présente querelle. Dans sa réponse au recours en matière civile, l'intimé n° 1 affirme ne pas pouvoir souscrire à ce raisonnement. Il fait valoir que la convention précitée avait pour but de mettre un terme aux litiges et incertitudes découlant notamment, comme l'a décrit le Tribunal pénal économique dans le jugement du 20 octobre 2005, de « l'imbroglio juridico-économique que tous les intéressés se sont ingéniés à créer ». L'intimé n° 1 soutient que le recourant, lorsque l'accord a été signé, devait connaître les prélèvements illicites qui avaient été opérés dans V.________ SA. Dans sa réponse au recours en matière civile, l'intimé n° 2 prétend également que la Juge instructeur a estimé à juste titre que l'accord du 2 novembre 1995 avait mis fin à tous les litiges entre les parties; c'est donc à tort que la Cour d'appel a professé l'opinion inverse.</w:t>
      </w:r>
    </w:p>
    <w:p>
      <w:r>
        <w:rPr>
          <w:b/>
        </w:rPr>
        <w:t>E. 3.1</w:t>
      </w:r>
    </w:p>
    <w:p>
      <w:r>
        <w:t>Il n'est pas contesté que l'accord signé le 2 novembre 1995 à Neuchâtel par le recourant et l'intimé n° 1 doit être qualifié de transaction extrajudiciaire (Vergleich). D'après la jurisprudence, la transaction est un contrat par lequel les parties mettent fin, par des concessions réciproques, à un litige ou à une incertitude touchant un rapport de droit ( ATF 132 III 737 consid. 1.3 p. 740; 130 III 49 consid. 1.2 p. 51 et les arrêts cités). Contrairement à la transaction judiciaire (cf. art. 208 al. 2 et 241 al. 2 CPC), la transaction extrajudiciaire n'est pas assimilée à un jugement, de sorte qu'elle n'est pas dotée de l'autorité de la chose jugée (arrêt 5A_337/2008 du 15 juillet 2008 consid. 4.1; MATTHIAS MAURER, Der Vergleichsvertrag, 2013, ch. 92 p. 30/31) et n'est pas un titre exécutoire au sens de l' art. 80 LP , mais un titre de mainlevée provisoire ( TERCIER/FAVRE, les contrats spéciaux, 4e éd. 2009, ch. 8151 p. 1233). En vertu de la transaction extrajudiciaire en question, le recourant a déclaré que, moyennant la vente de toutes les actions que détenait l'intimé n° 1 dans V.________ SA pour le prix forfaitaire de 1 fr. (art. 1 de la transaction) et celle au même prix de l'intégralité des parts que ce dernier possédait dans un établissement public canadien (art. 2), il n'avait plus « aucune prétention financière et légale de quelque type que ce soit » envers notamment l'intimé n° 1 (art. 3). Il appert ainsi, au vu de la teneur des clauses susrappelées, que la transaction extrajudiciaire incluait une quittance pour solde de comptes (Saldoquittung) (cf. à ce propos: ATF 127 III 444 consid. 1a p. 445 et la référence doctrinale; TERCIER/FAVRE, op. cit., ch. 8121 p. 1228). La quittance pour solde de comptes contient en particulier une reconnaissance négative de dette, soit une déclaration de volonté par laquelle une personne reconnaît n'avoir pas ou plus de prétention à faire valoir relativement à une créance ou à un rapport de droit ( ATF 127 III 444 consid. 1a; arrêt 4A_97/2007 du 10 octobre 2007 consid. 3.2, in SJ 2008 I p. 237). La reconnaissance négative de dette peut porter sur une dette existante; elle s'analyse alors comme une remise de dette (cf. art. 115 CO ). Le plus souvent toutefois, la dette en cause est incertaine, parce qu'elle est contestée ou simplement considérée comme possible par les parties; la reconnaissance négative de dette emporte alors une renonciation matérielle à une prétention, que d'aucuns qualifient de remise de dette éventuelle («eventueller Erlass»; cf. arrêt 4A_97/2007 du 10 octobre 2007 consid. 3.2, in SJ 2008 I p. 237); GONZENBACH/GABRIEL-TANNER, in Basler Kommentar, Obligationenrecht I, 5e éd. 2011, n. 3 ad art. 115 CO ). Il sied maintenant de déterminer la portée de la reconnaissance négative de dette faisant l'objet de l'article 3 de la transaction extrajudiciaire du 2 novembre 1995.</w:t>
      </w:r>
    </w:p>
    <w:p>
      <w:r>
        <w:rPr>
          <w:b/>
        </w:rPr>
        <w:t>E. 3.2</w:t>
      </w:r>
    </w:p>
    <w:p>
      <w:r>
        <w:t>Comme toute déclaration de volonté, la reconnaissance négative de dette s'interprète selon le principe de la confiance. Il s'agit de rechercher comment elle pouvait être comprise de bonne foi en fonction de l'ensemble des circonstances (interprétation objective; ATF 136 III 186 consid. 3.2.1 p. 188; 135 III 410 consid. 3.2 p. 412 s.). Dans son arrêt du 24 juin 2005 (cause 4C.23/2005), le Tribunal fédéral a retenu que les parties à la transaction extrajudiciaire entendaient purger l'ensemble de leurs relations financières, car le rapport de confiance entre les partenaires était rompu (consid. 3.3 in fine). Or lesdites relations étaient pour le moins complexes, dès l'instant où elles s'étaient développées quasi simultanément sur des fondements juridiques différents. Ainsi, le recourant, dans un premier temps, avait confié à la fin 1994 la somme d'un million de US$ à la société de gestion de fortune B.________, dont l'intimé n° 1 était le directeur et l'actionnaire unique. Cette somme devait être placée dans l'optique d'obtenir de hauts rendements. Les investissements opérés par B.________ se sont révélés désastreux, à telle enseigne que dix mois plus tard environ, à savoir en octobre 1995, le capital placé ne se montait plus qu'à 50'000 US$. Dans un deuxième temps, toujours à la fin 1994, le recourant s'est lancé dans l'exploitation d'établissements publics sis dans la région neuchâteloise. Dans ce but, l'intimé n° 1 lui a vendu la moitié du capital-actions de C.________ SA (dont il détenait jusque-là l'intégralité), soit cinquante actions de 1'000 fr. de valeur nominale, pour le prix de 775'000 fr. Le mois précédent, C.________ SA avait elle-même acquis soixante-six actions de la société D.________ SA, laquelle exploitait un établissement public en ville de Neuchâtel. Tous deux actionnaires de C.________ SA, le recourant et l'intimé n° 1 ont changé la raison de la société, celle-ci devenant V.________ SA, et en ont porté le capital-actions de 100'000 fr. à 550'000 fr. V.________ SA a par la suite exploité une discothèque par l'intermédiaire d'une société tierce, créée en été 1995. V.________ SA avait d'abord acquis, le 28 février 1995, la moitié des parts de cette discothèque pour le prix de 500'000 fr., montant que le recourant a prêté en totalité à V.________ SA selon l'intimé n° 1, par moitié à ladite société et par moitié à ce dernier selon le recourant. En juin 1995, V.________ SA a acquis, également pour 500'000 fr., la seconde moitié des parts de la discothèque grâce notamment au prêt accordé par le recourant à hauteur de 350'000 fr. à la société en cause d'après l'intimé n° 1, par 250'000 fr. à la société et par 100'000 fr. à ce dernier d'après le recourant. L'avance de 500'000 fr. effectuée par le recourant pour l'achat de la première moitié des parts de la discothèque devait lui rapporter, à teneur de l'accord signé entre celui-ci et l'intimé n° 1 le 26 mars 1995, trimestriellement 6'250 fr. dès le 30 juin 1995, à savoir 25'000 fr. par an. Il n'a pas été constaté que le recourant ait jamais touché la rémunération prévue par cet accord. On se trouve ainsi dans une situation où le 2 novembre 1995 le rapport de confiance entre le recourant et l'intimé n° 1 était brisé. Cela est parfaitement compréhensible du moment que le 95% de l'investissement opéré par le premier l'année précédente dans la société de gestion de fortune du second avait été perdu en quelque dix mois. Le recourant pouvait ainsi raisonnablement entretenir de gros doutes sur les capacités de gestionnaire et le sérieux dans les affaires de l'intimé n° 1. Ces doutes ont été renforcés par le fait que la prise de contrôle de la discothèque, au moyen de montages financiers particulièrement compliqués, n'avait apparemment encore rien rapporté au recourant. Il suit de là qu'au moment où la transaction extrajudiciaire a été conclue, le recourant, qui devenait désormais propriétaire de l'entier du capital-actions de V.________ SA, pouvait tenir pour possible que la gestion de la société en question, laquelle avait été opérée conjointement par l'intimé n° 2, administrateur unique en titre, et par l'intimé n° 1, administrateur de fait, ait pu se révéler dommageable en raison de la violation fautive par ces derniers de leurs devoirs d'administrateur. En d'autres termes, le recourant disposait d'éléments lui permettant d'envisager que les deux intimés, lesquels avaient été administrateurs de la société qui lui était cédée pour le prix forfaitaire de 1 fr., avaient engagé leur responsabilité en qualité d'organes de V.________ SA. Si le recourant voulait exclure de la transaction l'incertitude existant à ce sujet (caput controversum) , il lui appartenait de le mentionner explicitement dans ce contrat (cf. MAURER, op. cit, ch. 523 p. 171). En un pareil contexte, il faut admettre, comme l'avait reconnu la Juge instructeur de la Cour civile statuant en première instance, que la reconnaissance négative de dette incorporée dans la transaction extrajudiciaire du 2 novembre 1995 couvrait la prétention en dommages-intérêts que le recourant élève dans le présent procès contre l'intimé n° 1. En revanche, contrairement à ce qu'a admis la Juge instructeur pour renforcer sa thèse, il ne peut être opposé au recourant de ne pas avoir cherché à invalider la transaction pour erreur essentielle. En effet, lorsque l'erreur porte sur un élément de fait ou de droit sur lequel, comme en l'espèce, il y avait incertitude, ce vice du consentement ne peut être invoqué ( ATF 130 III 49 consid. 1.2 p. 52; consid. 2.3 non publié de l' ATF 133 III 421 ; TERCIER/FAVRE, op. cit., ch. 8160 p. 1235).</w:t>
      </w:r>
    </w:p>
    <w:p>
      <w:r>
        <w:rPr>
          <w:b/>
        </w:rPr>
        <w:t>E. 3.3</w:t>
      </w:r>
    </w:p>
    <w:p>
      <w:r>
        <w:t>De l'avis de la cour cantonale, en vertu du principe de la relativité des conventions, l'accord du 2 novembre 1995 ne liait pas l'intimé n° 2 et ne pouvait ainsi faire échec aux prétentions élevées par le recourant à son endroit. L' art. 759 al. 1 CO institue une solidarité parfaite (cf. art. 143 à 149 CO) entre les personnes qui, à l'instar des deux intimés, répondent d'un même préjudice en vertu des dispositions sur la responsabilité dans la société anonyme. Il n'est pas contesté que l'intimé n° 2, qui a participé aux négociations menées entre le recourant et l'intimé n° 1, puis élaboré le texte de la transaction extrajudiciaire, n'est pas partie à ce contrat. Il y a ainsi lieu de rechercher si l'effet libératoire de cet accord, tel qu'il a été déterminé au considérant 3.2 ci-dessus, a profité également à l'intimé n° 2. Savoir si et dans quelle mesure la transaction conclue entre le créancier et l'un des débiteurs solidaires a un effet libératoire à l'égard des autres débiteurs se détermine en interprétant la transaction ( ATF 133 III 116 consid. 4.2 p. 119; arrêt 4C.27/2003 du 26 mai 2003 consid. 3.5.2, in SJ 2003 I p. 597). A défaut de constatations sur la volonté réelle des parties à la transaction extrajudiciaire, il convient de procéder à une interprétation normative ( ATF 136 III 186 consid. 3.2.1 p. 188). D'après la jurisprudence, si le créancier donne quittance pour solde de tout compte au débiteur libéré, on peut en conclure qu'il entend renoncer aussi à ses prétentions contre les autres débiteurs ( ATF 107 II 226 consid. 4). En l'occurrence, la transaction extrajudiciaire indiquait que, moyennant vente au recourant pour 1 fr. du capital-actions de V.________ SA et pour la même somme des parts que possédait l'intimé n° 1 dans un établissement public canadien, celui-là déclarait n'avoir plus aucune prétention financière et légale, «de quelque type que ce soit » envers notamment celui-ci. Le recourant a donc donné à l'intimé n° 1 quittance pour solde de tout compte, ce qui constitue un indice sérieux que le recourant renonçait au droit d'actionner les autres coresponsables. A cela s'ajoute que le recourant est un homme rompu aux affaires disposant d'une importante fortune. On pouvait donc attendre de sa part qu'il réservât expressément ses droits à l'encontre de l'intimé n° 2 si telle était son intention. Tout bien pesé, le Tribunal fédéral estime que l'intimé n° 2 peut opposer au recourant l'accord transactionnel libératoire qu'il a conclu le 2 novembre 1995 avec l'intimé n° 1.</w:t>
      </w:r>
    </w:p>
    <w:p>
      <w:r>
        <w:rPr>
          <w:b/>
        </w:rPr>
        <w:t>E. 4</w:t>
      </w:r>
    </w:p>
    <w:p>
      <w:r>
        <w:t>Le recourant fait grand cas que, le 21 juillet 1999, V.________ SA lui a cédé les droits qu'elle détenait contre l'administrateur en titre (l'intimé n° 2) et l'administrateur de fait (l'intimé n° 1). Cette cession de créances (cf. art. 164 CO ) portait sur la créance en dommages-intérêts dont la société, lésée par le comportement contraire au droit de ses administrateurs, était titulaire en réparation du dommage qu'elle a subi. Si le caractère causal ou abstrait de la cession de créances fait toujours débat et n'a pour l'heure pas été tranché par le Tribunal fédéral ( ATF 95 II 109 consid. 2b p. 112; cf. sur cette controverse notamment PIERRE ENGEL, Traité des obligations en droit suisse, 2e éd. 1997, p. 154 à 156), il est admis que l'autonomie privée permet aux parties de modifier le caractère abstrait de la cession de créances par convention ( ATF 84 II 355 consid. 1 p. 363) en précisant la cause de la cession. In casu, il a été constaté que V.________ SA a cédé au recourant les droits qu'elle détenait contre les deux intimés afin de réduire la créance que possédait le recourant à son encontre, laquelle résultait de son compte courant actionnaire. Il apparaît donc que cette cession de créances indiquait sa cause et qu'elle a été opérée à titre de dation en vue du paiement (cf. art. 172 CO ). Or la cour cantonale a constaté en fait ( art. 105 al. 1 LTF ) que la prétendue créance du recourant à l'endroit de V.________ SA ne résultait pas du dernier bilan établi au 31 décembre 1996 par son organe de révision. Les critiques appellatoires, et donc irrecevables au regard de l' art. 106 al. 2 LTF , que le recourant soulève contre ce constat ne le rendent évidemment pas arbitraire. C'est ainsi en conformité avec le droit fédéral que la cour cantonale a pu juger que cette cession de créance n'avait pas de cause (Rechtsgrund) et qu'il s'agissait donc d'un acte simulé, dénué d'effet juridique en vertu de l' art. 18 al. 1 CO . Quoi qu'en pense le recourant, qui se prévaut de violation arbitraire de la maxime des débats consacrée alors par l'ancien droit de procédure civile neuchâtelois et désormais par l' art. 55 CPC , le juge doit relever d'office la simulation ( ATF 97 II 201 consid. 5 p. 207). Le recourant invoque dans la foulée en pure perte une violation de son droit d'être entendu ancré à l' art. 29 al. 2 Cst. , compris comme le droit de prendre position lorsque l'autorité concernée entend se fonder sur des normes légales dont la prise en compte ne pouvait pas être raisonnablement prévue (cf. ATF 129 II 497 consid. 2.2 p. 505 et les arrêts cités). De fait, l'intimé n° 1 avait invoqué explicitement la simulation de l'acte du 21 juillet 1999 à l'allégué 65 figurant dans sa réponse du 29 octobre 2007. Et les pièces du dossier pénal, dans lequel figurait le bilan de V.________ SA au 31 décembre 1996, ont été produites dans le présent procès, de sorte que le recourant pouvait prendre connaissance de ce document et se déterminer à son propos. A titre superfétatoire, on peut ajouter que le 30 mai 2007, jour où le recourant a ouvert action contre les intimés, la société V.________ SA avait déjà été radiée du registre du commerce. On ne voit pas comment le recourant, qui n'a pas sollicité la réinscription de cette société audit registre, aurait pu exercer l'action sociale pour celle-ci le jour précité.</w:t>
      </w:r>
    </w:p>
    <w:p>
      <w:r>
        <w:rPr>
          <w:b/>
        </w:rPr>
        <w:t>E. 5</w:t>
      </w:r>
    </w:p>
    <w:p>
      <w:r>
        <w:t>En définitive, le recours doit être rejeté dans la mesure de sa recevabilité, par substitution partielle de motifs. Le recourant, qui succombe, paiera l'émolument judiciaire et versera une indemnité à titre de dépens à chacun des intimés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