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191/2008 vom 28. Juli 2008</w:t>
      </w:r>
    </w:p>
    <w:p>
      <w:r>
        <w:t>Bundesgericht, 2008-07-28, DE</w:t>
      </w:r>
    </w:p>
    <w:p>
      <w:r>
        <w:rPr>
          <w:b/>
        </w:rPr>
        <w:t xml:space="preserve">Quelle: </w:t>
      </w:r>
      <w:r>
        <w:t>https://mcp.opencaselaw.ch/entscheid/bger_4A_191_2008</w:t>
      </w:r>
    </w:p>
    <w:p>
      <w:r>
        <w:t>FR: TF 4A 191/2008 du 28 juillet 2008</w:t>
      </w:r>
    </w:p>
    <w:p>
      <w:r>
        <w:t>IT: TF 4A 191/2008 del 28 luglio 2008</w:t>
      </w:r>
    </w:p>
    <w:p>
      <w:pPr>
        <w:pStyle w:val="Heading2"/>
      </w:pPr>
      <w:r>
        <w:t>Regeste</w:t>
      </w:r>
    </w:p>
    <w:p>
      <w:r>
        <w:t>Arbeitsvertrag; Lohnforderung | Vertragsrecht</w:t>
      </w:r>
    </w:p>
    <w:p>
      <w:pPr>
        <w:pStyle w:val="Heading2"/>
      </w:pPr>
      <w:r>
        <w:t>Erwägungen</w:t>
      </w:r>
    </w:p>
    <w:p>
      <w:r>
        <w:rPr>
          <w:b/>
        </w:rPr>
        <w:t>E. 1</w:t>
      </w:r>
    </w:p>
    <w:p>
      <w:r>
        <w:t>Die vorliegende Beschwerde hat einen Entscheid in Zivilsachen zum Gegenstand ( Art. 72 Abs. 1 BGG ). Sie betrifft eine vermögensrechtliche Angelegenheit mit einem Streitwert von mehr als Fr. 15'000.-- (Art. 74 Abs. 1 lit. a in Verbindung mit Art. 51 Abs. 1 lit. a BGG ). Die Vorinstanz hat als letzte kantonale Instanz endgültig entschieden ( Art. 75 Abs. 1 und Art. 90 BGG ). Auf die fristgerecht eingereichte Beschwerde (Art. 100 Abs. 1 in Verbindung mit Art. 46 Abs. 1 lit. a BGG ) ist daher unter Vorbehalt zulässiger Rügen ( Art. 95 ff. BGG ) und gehöriger Begründung ( Art. 42 Abs. 1 und 2 BGG ) einzutreten. Soweit mit der Beschwerde der Kostenentscheid des Arbeitsgerichts angefochten wird, ist darauf von vornherein nicht einzutreten, da es sich dabei nicht um einen kantonal letztinstanzlichen Entscheid im Sinne von Art. 75 Abs. 1 BGG handelt.</w:t>
      </w:r>
    </w:p>
    <w:p>
      <w:r>
        <w:rPr>
          <w:b/>
        </w:rPr>
        <w:t>E. 2.1</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Überdies muss die Behebung des Mangels für den Ausgang des Verfahrens entscheidend sein ( Art. 97 Abs. 1 BGG ).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Neue Tatsachen und Beweismittel dürfen nur soweit vorgebracht werden, als der Entscheid der Vorinstanz dazu Anlass gibt ( Art. 99 Abs. 1 BGG ). Der Beschwerdeführer, der die Sachverhaltsfeststellungen der Vorinstanz anfechten will, muss demzufolge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S. 351, 393 E. 7.1 S. 398, 462 E. 2.4 S. 466).</w:t>
      </w:r>
    </w:p>
    <w:p>
      <w:r>
        <w:rPr>
          <w:b/>
        </w:rPr>
        <w:t>E. 2.3</w:t>
      </w:r>
    </w:p>
    <w:p>
      <w:r>
        <w:t>Die Vorinstanz erachtete den Nachweis dafür, dass die Beschwerdegegnerin beim Abschluss des Anstellungsvertrages vom tatsächlichen Willen getragen war, dem Beschwerdeführer ab Mai 2001 einen Fixlohn von (unveränderten) Fr. 5'500.-- zuzüglich einer Umsatzprovision von 5 % zu bezahlen, als nicht erbracht. Der Beschwerdeführer bezeichnet diese Würdigung als unrichtig und macht geltend, in Absatz 2 der Vertragsklausel werde auf den in Absatz 1 definierten Fixlohn von Fr. 5'500.-- verwiesen, so dass dieser nicht mehr beziffert werden müsse. Damit beschränkt sich der Beschwerdeführer darauf, seine eigene Interpretation der Vertragsklausel darzulegen, ohne sich mit den Erwägungen der Vorinstanz auseinanderzusetzen und aufzuzeigen, inwiefern die Feststellungen der Vorinstanz hinsichtlich des tatsächlichen Parteiwillens offensichtlich unrichtig im Sinne von Art. 97 Abs. 1 BGG sein sollen. Entsprechendes gilt sowohl für die Ausführungen des Beschwerdeführers, wonach die Aussagen des versierten Geschäftsmannes, Herrn B.________, belegen würden, dass die Beschwerdegegnerin eigenmächtig gehandelt habe als auch für die Darlegungen, dass der Anstellungsvertrag von Herrn B.________ aufgesetzt worden sei, der gewusst habe, dass eine spätere Lohnreduktion vertraglich festgelegt werden müsse und seinen Willen angeblich nachträglich geändert habe. Auf die Rüge der unrichtigen Feststellung des Sachverhalts ist mangels hinreichender Begründung nicht einzutreten.</w:t>
      </w:r>
    </w:p>
    <w:p>
      <w:r>
        <w:rPr>
          <w:b/>
        </w:rPr>
        <w:t>E. 3</w:t>
      </w:r>
    </w:p>
    <w:p>
      <w:r>
        <w:t>Der Beschwerdeführer rügt sodann die Auslegung des Arbeitsvertrages nach dem Vertrauensprinzip durch die Vorinstanz. Nach dem Vertrauensprinzip sind zur Ermittlung des mutmasslichen Parteiwillens die Willenserklärungen der Parteien so auszulegen, wie sie nach ihrem Wortlaut und Zusammenhang sowie den gesamten Umständen verstanden werden durften und mussten ( BGE 131 III 606 E. 4.1 S. 611; 127 III 248 E. 3f S. 255, je mit Hinweisen). Das Bundesgericht überprüft diese objektivierte Auslegung von Willenserklärungen als Rechtsfrage ( BGE 131 III 606 E. 4.1 S. 611 mit Hinweisen), wobei es an Feststellungen des kantonalen Richters über die äusseren Umstände sowie das Wissen und Wollen der Beteiligten grundsätzlich gebunden ist ( BGE 129 III 702 E. 2.4 S. 707 mit Hinweisen).</w:t>
      </w:r>
    </w:p>
    <w:p>
      <w:r>
        <w:rPr>
          <w:b/>
        </w:rPr>
        <w:t>E. 3.1</w:t>
      </w:r>
    </w:p>
    <w:p>
      <w:r>
        <w:t>Die Vorinstanz erwog zunächst, dass Ziffer 15 des Arbeitsvertrages in einem zweiten Absatz ausdrücklich von einer "Umstellung" des Lohns auf eine neue Basis spreche, was der vom Beschwerdeführer geltend gemachten Interpretation entgegenstehe. Es könne sodann nicht angenommen werden, dass die Beschwerdegegnerin bereit gewesen wäre, dem Beschwerdeführer einen Bruttolohn von über Fr. 6'600.-- zu zahlen und ihm dies in Aussicht gestellt habe, zumal er für die Tätigkeit als Werkzeugschärfer keine Berufsausbildung und -erfahrung mitgebracht habe, sondern habe angelernt werden müssen. Ferner habe der Beschwerdeführer an seiner früheren Stelle zwischen Fr. 5'500.-- und 5'700.-- monatlich verdient. Somit habe der Beschwerdeführer als vernünftiger Vertragspartner nicht darauf schliessen dürfen, dass die Beschwerdegegnerin ihm ein Lohnversprechen in der Höhe von Fr. 5'500.-- fix zuzüglich einer Umsatzprovision von 5 % (entsprechend durchschnittlich rund Fr. 1'100.--) gemacht habe.</w:t>
      </w:r>
    </w:p>
    <w:p>
      <w:r>
        <w:rPr>
          <w:b/>
        </w:rPr>
        <w:t>E. 3.2</w:t>
      </w:r>
    </w:p>
    <w:p>
      <w:r>
        <w:t>Der Beschwerdeführer führt zu Unrecht aus, der Wortlaut der Vertragsbestimmung sei klar und die Umstände liessen kein Abweichen vom Wortlaut zu. Die Vorinstanz ist zu Recht von einem unklaren Wortlaut von Ziffer 15 des Arbeitsvertrages ausgegangen, da in einem separaten Absatz von einer Umstellung des Fixlohns auf eine neue Basis die Rede ist. Zum Auslegungsergebnis, wonach der Beschwerdeführer als vernünftiger Vertragspartner nicht darauf habe schliessen dürfen, die Beschwerdegegnerin habe ihm in Ziffer 15 des Arbeitsvertrages für die Zeit ab Mai 2001 ein Lohnversprechen in der Höhe von Fr. 5'500.-- fix zuzüglich einer Umsatzprovision von 5 % gemacht, gelangte die Vorinstanz nach ausführlicher Prüfung der gesamten Umstände des Vertragsabschlusses. Es entspricht überdies einem allgemeinen Erfahrungsgrundsatz, dass bei Vereinbarung eines Lohns mit Umsatzbeteiligung zunächst ein höherer Fixlohn ohne Provision ausbezahlt wird, dieser jedoch gesenkt wird, sobald eine Beteiligung am Umsatz besteht. Mit der entsprechenden Auslegung hat die Vorinstanz kein Bundesrecht verletzt. Der Beschwerdeführer legt zudem nicht dar, inwiefern die Vorinstanz die Grundsätze der Auslegung nach dem Vertrauensprinzip verletzt haben soll.</w:t>
      </w:r>
    </w:p>
    <w:p>
      <w:r>
        <w:rPr>
          <w:b/>
        </w:rPr>
        <w:t>E. 4</w:t>
      </w:r>
    </w:p>
    <w:p>
      <w:r>
        <w:t>Unbehelflich ist schliesslich die Berufung des Beschwerdeführers auf die sogenannte Unklarheitsregel, da diese nur greift, wenn die übrigen Auslegungsmittel versagen und sie im Bereich der vorgeformten Verträge ihr eigentliches Anwendungsgebiet findet ( BGE 123 III 35 E. 2c/bb S. 44; 122 III 118 E. 2d S. 124; 99 II 290 E. 5 S. 292). Beide Voraussetzungen sind vorliegend nicht gegeben. Insbesondere gelangte die Vorinstanz zum klaren Ergebnis, dass die Parteien bei Unterzeichnung des Arbeitsvertrages für die Zeit ab Mai 2001 keine Lohnabrede getroffen hätten. Der Ansicht des Beschwerdeführers, es bestehe keine Lücke, kann nicht gefolgt werden. Die Art der von der Vorinstanz vorgenommenen Vertragsergänzung beanstandet er im Übrigen nicht.</w:t>
      </w:r>
    </w:p>
    <w:p>
      <w:r>
        <w:rPr>
          <w:b/>
        </w:rPr>
        <w:t>E. 5</w:t>
      </w:r>
    </w:p>
    <w:p>
      <w:r>
        <w:t>Die Beschwerde ist abzuweisen, soweit darauf eingetreten werden kann. Entsprechend besteht auch kein Anlass, den Entscheid über die Kosten und Parteientschädigung im vorangegangenen Verfahren abzuändern (vgl. Art. 67 und Art. 68 Abs. 5 BGG ).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