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4A_190/2023 vom 9. Mai 2023</w:t>
      </w:r>
    </w:p>
    <w:p>
      <w:r>
        <w:t>Bundesgericht, 2023-05-09, DE</w:t>
      </w:r>
    </w:p>
    <w:p>
      <w:r>
        <w:rPr>
          <w:b/>
        </w:rPr>
        <w:t xml:space="preserve">Quelle: </w:t>
      </w:r>
      <w:r>
        <w:t>https://mcp.opencaselaw.ch/entscheid/bger_4A_190_2023</w:t>
      </w:r>
    </w:p>
    <w:p>
      <w:r>
        <w:t>FR: TF 4A_190/2023 du 9 mai 2023</w:t>
      </w:r>
    </w:p>
    <w:p>
      <w:r>
        <w:t>IT: TF 4A_190/2023 del 9 maggio 2023</w:t>
      </w:r>
    </w:p>
    <w:p>
      <w:pPr>
        <w:pStyle w:val="Heading2"/>
      </w:pPr>
      <w:r>
        <w:t>Erwägungen</w:t>
      </w:r>
    </w:p>
    <w:p>
      <w:r>
        <w:rPr>
          <w:b/>
        </w:rPr>
        <w:t>E. 1</w:t>
      </w:r>
    </w:p>
    <w:p>
      <w:r>
        <w:t>Die B.________ AG (Beschwerdegegnerin) beantragte mit Klage beim Regionalgericht Surselva, A.________ (Beschwerdeführer) sei zu verpflichten, ihr Fr. 54'490.80 für verschiedene Leistungen (Autoreparaturen, Lieferung von Ersatzteilen und Heizöl) zu bezahlen.</w:t>
      </w:r>
    </w:p>
    <w:p>
      <w:r>
        <w:t>Das Regionalgericht hiess die Klage mit Entscheid vom 31. August 2021 teilweise gut und verpflichtete den Beschwerdeführer, der Beschwerdegegnerin Fr. 37'712.80 zuzüglich Zins zu bezahlen. Auf Berufung des Beschwerdeführers reduzierte das Kantonsgericht von Graubünden diesen Betrag mit Urteil vom 22. Februar 2023 auf Fr. 29'937.75 nebst Zins, da es die Forderungen teilweise als verjährt betrachtete.</w:t>
      </w:r>
    </w:p>
    <w:p>
      <w:r>
        <w:t>Der Beschwerdeführer erhob gegen dieses Urteil mit Eingabe vom 29. März 2023 (Postaufgabe am 30. März 2023) beim Bundesgericht Beschwerde, mit der er sinngemäss auf Abweisung der Klage schliesst.</w:t>
      </w:r>
    </w:p>
    <w:p>
      <w:r>
        <w:t>Auf die Einholung von Vernehmlassungen zur Beschwerde wurde vorliegend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Der Beschwerdeführer setzt sich in seiner Beschwerdeeingabe offensichtlich nicht hinreichend mit den umfassenden und einlässlichen Erwägungen im angefochtenen Urteil auseinander und zeigt nicht rechtsgenügend auf, inwiefern die Vorinstanz mit ihrem darauf gestützten Entscheid Bundesrecht verletzt hätte. Vielmehr unterbreitet er dem Bundesgericht in frei gehaltenen Ausführungen bloss seine eigene Sicht der Dinge, wobei er von den verbindlichen Sachverhaltsfeststellungen im angefochtenen Entscheid nach Belieben abweicht, ohne dazu hinreichend begründete Sachverhaltsrügen im vorstehend (Erwägung 2.2) dargestellten Sinne zu erheben, was im bundesgerichtlichen Verfahren nicht zulässig ist.</w:t>
      </w:r>
    </w:p>
    <w:p>
      <w:r>
        <w:t>Auf die Beschwerde ist somit mangels hinreichender Begründung nicht einzutreten ( Art. 108 Abs. 1 lit. b BGG ).</w:t>
      </w:r>
    </w:p>
    <w:p>
      <w:r>
        <w:rPr>
          <w:b/>
        </w:rPr>
        <w:t>E. 4</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