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4A_18/2018 vom 21. November 2018</w:t>
      </w:r>
    </w:p>
    <w:p>
      <w:r>
        <w:t>Bundesgericht, 2018-11-21, FR</w:t>
      </w:r>
    </w:p>
    <w:p>
      <w:r>
        <w:rPr>
          <w:b/>
        </w:rPr>
        <w:t xml:space="preserve">Quelle: </w:t>
      </w:r>
      <w:r>
        <w:t>https://mcp.opencaselaw.ch/entscheid/bger_4A_18_2018</w:t>
      </w:r>
    </w:p>
    <w:p>
      <w:r>
        <w:t>FR: TF 4A_18/2018 du 21 novembre 2018</w:t>
      </w:r>
    </w:p>
    <w:p>
      <w:r>
        <w:t>IT: TF 4A_18/2018 del 21 novembre 2018</w:t>
      </w:r>
    </w:p>
    <w:p>
      <w:pPr>
        <w:pStyle w:val="Heading2"/>
      </w:pPr>
      <w:r>
        <w:t>Erwägungen</w:t>
      </w:r>
    </w:p>
    <w:p>
      <w:r>
        <w:rPr>
          <w:b/>
        </w:rPr>
        <w:t>E. 1</w:t>
      </w:r>
    </w:p>
    <w:p>
      <w:r>
        <w:t>L'arrêt attaqué est une décision finale ( art. 90 LTF ) rendue en matière civile ( art. 72 LTF ) par un tribunal supérieur statuant sur recours comme autorité cantonale de dernière instance ( art. 75 LTF ). La valeur litigieuse excède le seuil de 15'000 fr. requis dans les conflits de droit du travail ( art. 74 al. 1 let. a LTF ). La recourante, qui a succombé dans ses conclusions ( art. 76 al. 1 LTF ), a agi dans le délai ( art. 100 al. 1 LTF en relation avec l' art. 46 al. 1 let . c LTF) et la forme ( art. 42 LTF ) prévus par la loi, de sorte que son recours est recevable sur le principe. Demeure réservé l'examen des griefs particuliers.</w:t>
      </w:r>
    </w:p>
    <w:p>
      <w:r>
        <w:rPr>
          <w:b/>
        </w:rPr>
        <w:t>E. 2.1</w:t>
      </w:r>
    </w:p>
    <w:p>
      <w:r>
        <w:t>Le recours en matière civile peut être exercé pour violation du droit fédéral ( art. 95 let. a LTF ), notion qui inclut le droit constitutionnel ( ATF 135 III 670 consid. 1.4). Le Tribunal fédéral applique le droit d'office ( art. 106 al. 1 LTF ), de sorte qu'il n'est limité ni par les arguments soulevés dans le recours, ni par la motivation retenue par l'autorité précédente ( ATF 135 III 397 consid. 1.4 p. 400). Eu égard, toutefois, à l'exigence de motivation qu'impose l' art. 42 al. 2 LTF , sous peine d'irrecevabilité ( art. 108 al. 1 let. b LTF ), il n'examine d'ordinaire que les griefs invoqués, sauf en cas d'erreurs juridiques manifestes ( ATF 142 III 402 consid. 2.6 p. 413; 140 III 115 consid. 2 p. 116). Par ailleurs,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En matière d'appréciation des preuves, le Tribunal fédéral se montre pareillement réservé.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w:t>
      </w:r>
    </w:p>
    <w:p>
      <w:r>
        <w:rPr>
          <w:b/>
        </w:rPr>
        <w:t>E. 3</w:t>
      </w:r>
    </w:p>
    <w:p>
      <w:r>
        <w:t>Le premier moyen de la recourante a trait au harcèlement sexuel (au sens de l' art. 4 LEG ) qu'elle impute au défendeur, respectivement à la défenderesse.</w:t>
      </w:r>
    </w:p>
    <w:p>
      <w:r>
        <w:rPr>
          <w:b/>
        </w:rPr>
        <w:t>E. 3.1</w:t>
      </w:r>
    </w:p>
    <w:p>
      <w:r>
        <w:t>L' art. 328 al. 1 CO impose à l'employeur de protéger et respecter, dans les rapports de travail, la personnalité du travailleur. Il doit en particulier veiller à ce que les travailleurs ne soient pas harcelés sexuellement et qu'ils ne soient pas, le cas échéant, désavantagés en raison de tels actes.</w:t>
      </w:r>
    </w:p>
    <w:p>
      <w:r>
        <w:t>L' art. 3 al. 1 LEg interdit de discriminer les travailleurs à raison du sexe.</w:t>
      </w:r>
    </w:p>
    <w:p>
      <w:r>
        <w:t>Le harcèlement sexuel se définit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art. 4 LEg ).</w:t>
      </w:r>
    </w:p>
    <w:p>
      <w:r>
        <w:t>Selon la jurisprudence, les remarques sexistes et les commentaires grossiers ou embarrassants entrent dans la définition du harcèlement sexuel. Bien que l' art. 4 LEg ne se réfère qu'à des cas d'abus d'autorité, la définition englobe tous les comportements importuns de caractère sexuel, soit également ceux qui contribuent à rendre le climat de travail hostile, par exemple des plaisanteries déplacées ( ATF 126 III 395 consid. 7b/bb p. 397 et les références; arrêts 8C_422/2013 du 9 avril 2014 consid. 7.2; 4C.60/2006 du 22 mai 2006 consid. 3.1; 4C.187/2000 du 6 avril 2001 consid. 2a).</w:t>
      </w:r>
    </w:p>
    <w:p>
      <w:r>
        <w:t>Le mécanisme d'allègement du fardeau de la preuve prévu par l' art. 6 LEg ne s'applique pas en matière d'harcèlement sexuel (arrêt 4A_473/2013 du 2 décembre 2013 consid. 3.1 et 3.2 et les références citées).</w:t>
      </w:r>
    </w:p>
    <w:p>
      <w:r>
        <w:rPr>
          <w:b/>
        </w:rPr>
        <w:t>E. 3.2</w:t>
      </w:r>
    </w:p>
    <w:p>
      <w:r>
        <w:t>De tous les allégués relatifs au comportement agressif, hostile ou humiliant qu'aurait adopté le défendeur C.________, seul a été retenu le fait d'avoir utilisé le surnom «Mistinguett» pour désigner l'employée à l'occasion d'un apéritif auquel elle ne participait pas. Concernant l'établissement des faits, la cour cantonale ne s'est à juste titre pas contentée d'une simple vraisemblance (cf.</w:t>
      </w:r>
    </w:p>
    <w:p>
      <w:r>
        <w:t>supra consid. 3.1</w:t>
      </w:r>
    </w:p>
    <w:p>
      <w:r>
        <w:t>in fine ). L'on ignore en revanche la teneur précise du propos tenu par le défendeur. La recourante reproche aux juges cantonaux d'avoir méconnu qu'il s'agissait-là de harcèlement sexuel au sens de l' art. 4 LEg : le terme en question faisait référence à une danseuse de cabaret exhibant ses jambes devant un parterre de personnes - à tout le moins était-ce ainsi que l'on percevait une danseuse de cabaret à notre époque -, ce qui était tout sauf valorisant, et même dégradant pour une personne de sa condition.</w:t>
      </w:r>
    </w:p>
    <w:p>
      <w:r>
        <w:rPr>
          <w:b/>
        </w:rPr>
        <w:t>E. 3.3</w:t>
      </w:r>
    </w:p>
    <w:p>
      <w:r>
        <w:t>La cour cantonale a estimé que le terme utilisé n'était pas suffisamment connoté pour relever de l' art. 4 LEg . Certes, le nom évoqué était celui d'une danseuse de cabaret, mais celle-ci s'était distinguée par son esprit et sa grâce. A lire sa biographie, il ne s'en dégageait aucune connotation négative.</w:t>
      </w:r>
    </w:p>
    <w:p>
      <w:r>
        <w:rPr>
          <w:b/>
        </w:rPr>
        <w:t>E. 3.4</w:t>
      </w:r>
    </w:p>
    <w:p>
      <w:r>
        <w:t>Jeanne Florentine Bourgeois, dite Mistinguett, a vécu de 1875 à 1956. Si elle a joué au théâtre et au cinéma, elle a acquis la gloire dans les cabarets parisiens de la Belle Epoque (Moulin-Rouge, Folies-Bergères, Casino de Paris) où elle officiait comme meneuse de revue. Ce n'est certes pas sa voix qui en a fait une artiste à succès - elle avait notoirement la voix éraillée, pour ne pas dire qu'elle chantait faux -, mais il serait réducteur de voir en elle uniquement les plus belles jambes de Paris. Dans un hommage posthume intitulé « A</w:t>
      </w:r>
    </w:p>
    <w:p>
      <w:r>
        <w:t>dieu à une étoile », l'académicien Jean Cocteau disait d'elle que sa disparition équivalait à la chute des dernières cariatides du temple. Sur ce même thème, il poursuivait:</w:t>
      </w:r>
    </w:p>
    <w:p>
      <w:r>
        <w:t>«C</w:t>
      </w:r>
    </w:p>
    <w:p>
      <w:r>
        <w:t>hez ces cariatides, la tête ne servait guère qu'à soutenir l'édifice. Coeur et entrailles se chargeaient du reste. » L'on pressent bien, par-delà cette formule que l'on pourrait de prime abord juger irrévérencieuse, que l'artiste ne l'avait pas touché par la brillance de son intellect, mais par ce qu'il n'hésitait pas à qualifier de génie et qu'elle exprimait d'une tout autre manière: par sa grâce, une gouaille toute parisienne et le fait qu'elle incarnât l'esprit de Paris. «</w:t>
      </w:r>
    </w:p>
    <w:p>
      <w:r>
        <w:t>Rien ne l'arrête au bord d'une zone excessive, où le bon goût ni le mauvais goût ne s'exercent » écrivait-il, avec l'admiration de l'intellectuel luttant pour s'affranchir de ses propres limites (Figaro Littéraire du 14 janvier 1956, accessible sur le site Internet www.lefigaro.fr; cf. aussi Le Grand Robert des noms propres).</w:t>
      </w:r>
    </w:p>
    <w:p>
      <w:r>
        <w:t>De nos jours, ce terme est utilisé dans le langage courant pour désigner, de façon familière mais généralement affectueuse, une jeune fille (« Miss») ou une jeune femme.</w:t>
      </w:r>
    </w:p>
    <w:p>
      <w:r>
        <w:t>Il y a fort à parier que le défendeur était peu au fait de ce portrait de Mistinguett lorsqu'il a utilisé son nom. Certainement ne le faisait-il pas pour manifester une quelconque admiration. Cependant, même s'il n'entrevoyait pas la richesse de ce personnage et s'il n'avait en tête qu'une figure empanachée sur des jambes effilées, ce qui serait la marque d'une inculture certaine, la comparaison qu'il a faite, à une seule reprise et sans que l'on connaisse la teneur précise de son propos, ne saurait s'apparenter à du harcèlement sexuel. Il n'y a en effet pas de raison de placer à un niveau si bas, où celui qui parle n'est guère plus érudit que ceux qu'amuserait l'évocation d'une figure historique qu'ils entrevoient uniquement par un prisme, le seuil du harcèlement sexuel.</w:t>
      </w:r>
    </w:p>
    <w:p>
      <w:r>
        <w:t>Certes, la différence - elle est de taille - entre une meneuse de revue, respectivement une artiste de cabaret de la Belle Epoque, et une « artiste de cabaret» telle qu'elle peut se concevoir aujourd'hui (là où il n'y a plus ni véritable artiste, ni cabaret-théâtre d'ailleurs), peut échapper à l'ignorant. Cela étant, face à un tel glissement sémantique, la recourante pourrait tout au plus s'offusquer du manque de savoir de son interlocuteur, dès lors que cette carence est en définitive préjudiciable à lui seul.</w:t>
      </w:r>
    </w:p>
    <w:p>
      <w:r>
        <w:t>Il est possible, à suivre les déclarations d'un témoin - H.________ - évoquées par la cour cantonale, que le langage ait été assez rude dans l'environnement de travail - le</w:t>
      </w:r>
    </w:p>
    <w:p>
      <w:r>
        <w:t>trading de matières premières - où l'employée évoluait, comme celle-ci l'affirme. Ceci a toutefois peu à voir avec la culture, et c'est bien de cela dont il s'agit ici.</w:t>
      </w:r>
    </w:p>
    <w:p>
      <w:r>
        <w:t>Le grief de la recourante tiré de la violation de l' art. 4 LEg doit dès lors être rejeté.</w:t>
      </w:r>
    </w:p>
    <w:p>
      <w:r>
        <w:rPr>
          <w:b/>
        </w:rPr>
        <w:t>E. 4</w:t>
      </w:r>
    </w:p>
    <w:p>
      <w:r>
        <w:t>Du point de vue de la recourante, la cour cantonale aurait également exclu à tort que le congé fût abusif.</w:t>
      </w:r>
    </w:p>
    <w:p>
      <w:r>
        <w:rPr>
          <w:b/>
        </w:rPr>
        <w:t>E. 4.1</w:t>
      </w:r>
    </w:p>
    <w:p>
      <w:r>
        <w:t>Selon l' art. 335 al. 1 CO , le contrat de travail conclu pour une durée indéterminée peut être résilié par chacune des parties. Le droit de chaque cocontractant de mettre unilatéralement fin au contrat est toutefois limité par les dispositions sur le congé abusif ( art. 336 ss CO ).</w:t>
      </w:r>
    </w:p>
    <w:p>
      <w:r>
        <w:t>L' art. 336 al. 1 et 2 CO énumère une liste - non exhaustive - des cas dans lesquels la résiliation est abusive. Ainsi, à teneur de l' art. 336 al. 1 let .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 ATF 136 III 513 consid. 2.4).</w:t>
      </w:r>
    </w:p>
    <w:p>
      <w:r>
        <w:t>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 art. 328 CO ) (arrêt 4A_401/2016 du 13 janvier 2017 consid. 5.1.1). Cela étant, les prétentions émises par l'employé doivent encore avoir joué un rôle causal dans la décision de l'employeur de le licencier ( ATF 136 III 513 consid. 2.6 p. 517).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4A_401/2016 précité, consid. 5.1.3; 4C.60/2006 du 22 mai 2006 consid. 7.1). Déterminer s'il existe un rapport de causalité naturelle est une question de fait ( ATF 136 III 513 consid. 2.6 p. 517</w:t>
      </w:r>
    </w:p>
    <w:p>
      <w:r>
        <w:t>in fine ).</w:t>
      </w:r>
    </w:p>
    <w:p>
      <w:r>
        <w:t>Pour dire si un congé est abusif, il faut se fonder sur son motif réel (arrêt 4A_485/2015 du 15 février 2016 consid. 3.1). Déterminer le motif d'une résiliation est une question de fait ( ATF 131 III 535 consid. 4.3 p. 540).</w:t>
      </w:r>
    </w:p>
    <w:p>
      <w:r>
        <w:rPr>
          <w:b/>
        </w:rPr>
        <w:t>E. 4.2</w:t>
      </w:r>
    </w:p>
    <w:p>
      <w:r>
        <w:t>La cour cantonale a retenu, en fait, que la décision de l'employeuse avait été motivée par le rapport de l'expert-comptable diplômé G.________ lequel, chargé d'émettre un diagnostic sur le fonctionnement du processus de comptabilisation et la qualité du travail de l'employée, avait conclu que celle-ci ne disposait pas des compétences nécessaires et qu'il était impératif de réagir rapidement pour éviter une péjoration de la situation. Elle n'avait dès lors pas été prise en représailles au courriel de l'employée du 27 mai 2011, par lequel cette dernière se plaignait auprès de l'administrateur président de la société du comportement de C.________ à son égard.</w:t>
      </w:r>
    </w:p>
    <w:p>
      <w:r>
        <w:rPr>
          <w:b/>
        </w:rPr>
        <w:t>E. 5</w:t>
      </w:r>
    </w:p>
    <w:p>
      <w:r>
        <w:t>La recourante estime que cette constatation est arbitraire ( art. 9 Cst. ). La cour cantonale aurait, contre toute évidence, omis de tenir compte du fait qu'elle avait toujours exécuté son travail de manière diligente et consciencieuse, ainsi que l'attestait son certificat de travail intermédiaire, et que l'organe de révision avait toujours validé sans réserve la comptabilité qu'elle tenait. Ses compétences comptables ne seraient donc pas en cause.</w:t>
      </w:r>
    </w:p>
    <w:p>
      <w:r>
        <w:t>L'argument tombe à faux. L'autorité précédente n'a pas méconnu qu'au cours des années précédentes, les qualités de comptable de l'employée avaient été reconnues par son employeuse; les déclarations de E.________, qui avait supervisé hiérarchiquement l'employée et sont rapportées dans l'arrêt attaqué, en sont la démonstration. Cela étant, en 2010-2011, tel n'était plus le cas. La cour cantonale s'est laissée convaincre par l'analyse précitée de G.________, qui était confortée tant par la société externe M.________ SA, à laquelle l'employeuse a eu recours au mois de mai 2011, que par l'expert X.________, lequel a retenu que les opérations comptables, en particulier celles relatives aux</w:t>
      </w:r>
    </w:p>
    <w:p>
      <w:r>
        <w:t>hedges , n'avaient pas été correctement suivies par l'employée, occasionnant des retards qui n'étaient «pas admissibles». I.________, soit l'expert-comptable co-signataire du rapport de la fiduciaire précitée, a précisé qu'il n'y avait pas eu de bouclement à la fin mars 2011, qu'il y avait effectivement trois mois de retard dans la comptabilité, qu'il ne parvenait pas à retrouver les pièces, que le travail n'était pas fait, que les écritures n'étaient pas correctes, qu'il n'y avait pas besoin de contrôler pour voir que c'était faux et qu'il avait repris toute la comptabilité car il n'arrivait pas à travailler sur la base de ce que l'employée avait fait. Ces observations relèguent à l'arrière-plan le manque de support par lequel la recourante tente, lapidairement d'ailleurs, de se justifier. Celle-ci voudrait voir écartées les conclusions de ce rapport. Cela étant, il lui faudrait plus que l'évocation d'un conflit d'intérêts tiré du mandat décroché par cette fiduciaire et d'une évidence qui n'en est pas une pour parvenir à ses fins, étant encore précisé que les conclusions de ce rapport rejoignent celles de l'expert X.________. C'est finalement le lieu de souligner que la cour cantonale n'a pas eu à recourir aux déclarations de..., expert-comptable auprès de l'organe de révision de la société employeuse, de sorte que ce même grief n'a aucune portée en ce qui le concerne.</w:t>
      </w:r>
    </w:p>
    <w:p>
      <w:r>
        <w:t>La recourante fait valoir qu'elle s'est plainte de harcèlement sexuel et que l'employeuse n'a nullement essayé de comprendre les motifs qui dictaient sa démarche, s'empressant au contraire de réagir en la licenciant. Elle tire un parallèle avec l'affaire sur laquelle le Tribunal fédéral s'est prononcé le 22 mai 2006 (arrêt 4C.60/2006). Il se trouve toutefois que les faits se présentaient de manière bien différente dans cette cause, où l'employée n'était pas confrontée au grief de ne pas satisfaire à son cahier des charges, comme dans le cas d'espèce. La recourante ne peut donc en tirer aucun avantage.</w:t>
      </w:r>
    </w:p>
    <w:p>
      <w:r>
        <w:t>Quant au fait que la décision de licencier l'employée avait déjà été prise à la mi-mai 2011 et qu'elle était ainsi antérieure à son courrier électronique du 27 mai 2011, il n'a pas été «extrapolé» par la cour cantonale, mais déduit du témoignage de F.________, éclairé par les observations d'autres intervenants relatifs à la situation comptable; une telle constatation n'a rien d'insoutenable.</w:t>
      </w:r>
    </w:p>
    <w:p>
      <w:r>
        <w:t>La cour cantonale pouvait dès lors conclure sans arbitraire que les plaintes de la recourante n'avaient joué aucun rôle causal dans la décision de la licencier. La résiliation du contrat de travail n'était ainsi pas abusive. Ce grief de la recourante doit ainsi également être rejeté.</w:t>
      </w:r>
    </w:p>
    <w:p>
      <w:r>
        <w:rPr>
          <w:b/>
        </w:rPr>
        <w:t>E. 6</w:t>
      </w:r>
    </w:p>
    <w:p>
      <w:r>
        <w:t>En définitive, le recours s'avère intégralement mal fondé et doit être rejeté.</w:t>
      </w:r>
    </w:p>
    <w:p>
      <w:r>
        <w:t>En conséquence, la recourante supportera les frais de la présente procédure ( art. 66 al. 1 LTF ), qui seront réduits pour tenir compte du fait que le litige relevait partiellement - mais pas essentiellement - de la LEg ( art. 65 al. 4 let. b LTF ).</w:t>
      </w:r>
    </w:p>
    <w:p>
      <w:r>
        <w:t>Aucuns dépens ne sont dus aux intimés dès lors qu'ils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