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4A_18/2011 vom 5. April 2011</w:t>
      </w:r>
    </w:p>
    <w:p>
      <w:r>
        <w:t>Bundesgericht, 2011-04-05, FR</w:t>
      </w:r>
    </w:p>
    <w:p>
      <w:r>
        <w:rPr>
          <w:b/>
        </w:rPr>
        <w:t xml:space="preserve">Quelle: </w:t>
      </w:r>
      <w:r>
        <w:t>https://mcp.opencaselaw.ch/entscheid/bger_4A_18_2011</w:t>
      </w:r>
    </w:p>
    <w:p>
      <w:r>
        <w:t>FR: TF 4A_18/2011 du 5 avril 2011</w:t>
      </w:r>
    </w:p>
    <w:p>
      <w:r>
        <w:t>IT: TF 4A_18/2011 del 5 aprile 2011</w:t>
      </w:r>
    </w:p>
    <w:p>
      <w:pPr>
        <w:pStyle w:val="Heading2"/>
      </w:pPr>
      <w:r>
        <w:t>Erwägungen</w:t>
      </w:r>
    </w:p>
    <w:p>
      <w:r>
        <w:rPr>
          <w:b/>
        </w:rPr>
        <w:t>E. 1.1</w:t>
      </w:r>
    </w:p>
    <w:p>
      <w:r>
        <w:t>La demande adressée au Tribunal de première instance le 8 juillet 2009 est une action en revendication au sens de l' art. 641 al. 2 CC . Il s'agit d'une contestation de nature pécuniaire (arrêt 5C.252/2004 du 30 mai 2005 consid. 1; arrêt 5C.127/2001 du 26 octobre 2001 consid. 1) dont la valeur litigieuse correspond à la valeur de l'objet revendiqué (YVES DONZALLAZ, Loi sur le Tribunal fédéral, Commentaire, 2008, no 1407 ad art. 51 LTF ; JEAN-FRANÇOIS POUDRET, Commentaire de la loi fédérale d'organisation judiciaire, 1990, ch. 9.5 ad art. 36 aOJ; cf. ATF 94 II 51 consid. 2 p. 54), déduction faite de l'hypothèque grevant celui-ci (arrêt 4A_318/2009 du 30 septembre 2009 consid. 1.1; POUDRET, op. cit., ch. 5.3 ad art. 36 aOJ; ALAIN WURZBURGER, Les conditions objectives du recours en réforme au Tribunal fédéral, thèse Lausanne 1964, p. 135 ch. 188). Ainsi, l'arrêt cantonal a été rendu dans le cadre d'une affaire pécuniaire portant sur une valeur litigieuse dépassant très largement le seuil de 30'000 fr. fixé à l' art. 74 al. 1 let. b LTF .</w:t>
      </w:r>
    </w:p>
    <w:p>
      <w:r>
        <w:t>Exercé par deux parties qui ont succombé dans leurs conclusions en contestation de l'évacuation des locaux loués ( art. 76 al. 1 LTF ) et dirigé contre une décision finale rendue en matière civile ( art. 72 al. 1 LTF ) par une autorité cantonale de dernière instance ( art. 75 LTF ), le recours est en principe recevable, puisqu'il a été déposé dans le délai ( art. 46 al. 1 let . c,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recourants indiquent, aux pages 3 à 11 de leur mémoire, qu'ils entendent reprendre l'état de fait retenu par la cour cantonale, mais en le complétant, voire en le corrigeant, lorsque les faits ont été omis ou apprécié de façon incorrecte dans l'arrêt entrepris. Dès lors qu'ils n'invoquent pas l'arbitraire ( art. 9 Cst. ) et ne démontrent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rPr>
          <w:b/>
        </w:rPr>
        <w:t>E. 2.1</w:t>
      </w:r>
    </w:p>
    <w:p>
      <w:r>
        <w:t>Les recourants soutiennent qu'ils se sont efforcés, tout au long de la procédure cantonale, de démontrer que toutes les conventions passées au fils des ans tendaient à permettre à la famille X.________ de rester dans la villa ... qu'elle occupe depuis 1983. Ils reprochent à la juridiction précédente, qui n'a pas confirmé leur thèse, de s'être "satisfaite d'une appréciation formelle et tronquée des accords passés" entre les divers protagonistes et de ne pas avoir ordonné la mise en oeuvre des mesures probatoires utiles à la détermination de la volonté réelle des parties. Ils estiment qu'elle a sombré dans l'arbitraire ( art. 9 Cst. ), violé leur droit d'être entendus ( art. 29 al. 2 Cst. ) et transgressé l' art. 8 CC .</w:t>
      </w:r>
    </w:p>
    <w:p>
      <w:r>
        <w:t>Si le droit de faire administrer des preuves est invoqué en relation avec une prétention de droit privé fédéral, les critiques de la partie recourante sont en principe examinées à l'aune de l' art. 8 CC , dont les conditions sont identiques à celles de l' art. 29 al. 2 Cst. (arrêt 5A_726/2009 du 30 avril 2010 consid. 3.1, non publié à l' ATF 136 III 365 , et les références).</w:t>
      </w:r>
    </w:p>
    <w:p>
      <w:r>
        <w:t>Un droit à la preuve et à la contre-preuve est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p. 195, 295 consid. 7. 1 p. 299 et les arrêts cités).</w:t>
      </w:r>
    </w:p>
    <w:p>
      <w:r>
        <w:t>Une décision n'est arbitraire, s'agissant de l'appréciation des preuves et de l'établissement des faits,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w:t>
      </w:r>
    </w:p>
    <w:p>
      <w:r>
        <w:rPr>
          <w:b/>
        </w:rPr>
        <w:t>E. 2.2.1</w:t>
      </w:r>
    </w:p>
    <w:p>
      <w:r>
        <w:t>Les recourants soutiennent que la cour cantonale se devait d'auditionner divers témoins ayant participé à la négociation et à la conclusion des conventions qui se sont succédées, de manière à en préciser le contenu. La cour cantonale observe que les recourants ont uniquement demandé la production de documents, en particulier le contrat de prêt de décembre 2006 conclu entre les intimés et N.X.________, et les relevés bancaires de ce dernier. Il n'est pas établi que des auditions aient été régulièrement offertes en procédure cantonale et les recourants ne tentent d'ailleurs pas de le démontrer. A cet égard, on ne saurait donc reprocher aux juges cantonaux d'avoir enfreint l' art. 8 CC .</w:t>
      </w:r>
    </w:p>
    <w:p>
      <w:r>
        <w:t>S'agissant des relevés bancaires, ceux-ci auraient tout au plus permis de constater que divers versements ont été opérés en faveur de N.X.________, sans que l'on en connaisse précisément les motifs. La production de ces documents, à elle seule, était ainsi impropre à démontrer que, contrairement au texte clair des conventions du 20 février 2007 et du 5 mars 2007 (qui prévoient une date butoir - le 31 janvier 2009 - pour l'évacuation), la volonté réelle des parties auraient été de permettre à la famille X.________ de rester dans les locaux litigieux ou de la "reloger décemment au moins pour une durée de dix ans", ainsi que le prétendent les recourants. A noter que les recourants eux-mêmes semblent admettre que le motif des versements effectués en faveur de leur fils était sans rapport avec l'occupation de la villa; devant les instances cantonales, ils ont en effet reconnu que N.X.________ avait obtenu de l'argent uniquement pour des "besoins personnels". La mesure probatoire requise ne permettait dès lors pas d'établir un fait pertinent et on voit ainsi mal en quoi la juridiction précédente aurait violé l' art. 8 CC .</w:t>
      </w:r>
    </w:p>
    <w:p>
      <w:r>
        <w:t>Quant à la raison pour laquelle les recourants ont sollicité la production du contrat de prêt de décembre 2006, elle est loin d'être claire. Les recourants, dans leur mémoire, reconnaissent que "le prêt consenti en 2006 n'a, en soi, pas grande pertinence quant au bien-fondé de l'action en revendication" exercée par les intimés. Dans une argumentation non exempte de contradiction, ils se prévalent pourtant de ce document pour défendre leur thèse. Quoiqu'il en soit, il n'est pas contesté que les recourants ont pu bénéficier du prêt de 500'000 fr. qui a été consenti à N.X.________ en décembre 2006 et on ne voit pas quel autre fait utile à l'issue du litige aurait pu être établi au moyen du contrat de prêt. L'apport de ce document n'aurait en tout cas pas permis d'établir les nombreux points allégués par les recourants, à savoir notamment des circonstances permettant de nier l'obligation d'évacuer l'immeuble à la date butoir, les motifs qui auraient incité les intimés à augmenter la valeur du droit d'emption le 5 mars 2007, l'existence d'un enrichissement illégitime de l'ordre de 3'500'000 fr. (la valeur réelle de la propriété, prétendument de 6'500'000 fr., reposant sur un document non repris dans la décision cantonale).</w:t>
      </w:r>
    </w:p>
    <w:p>
      <w:r>
        <w:t>Quant aux reproches, exprimés de façon générale, selon lesquels la cour précédente "n'a pas investigué le moins du monde" pour comprendre la raison des libéralités consenties par les intimés à N.X.________ ou qu'elle "aurait dû s'interroger" sur les motifs des versements qui ont pu influer la volonté de conclure, ils laissent entendre que l'autorité cantonale aurait dû entreprendre d'office une administration des preuves plus étendue que celle effectuée en l'espèce. L'argument ne peut être suivi. En l'occurrence, le juge s'est forgé une conviction sur la base des faits contenus dans le dossier, et il n'y a plus de place pour la violation de l' art. 8 CC invoquée par les recourants; en effet, cette disposition ne dicte pas sur quelles bases et comment le juge peut forger sa conviction ( ATF 128 III 22 consid. 2d p. 25 et les arrêts cités). Si les recourants estimaient que le motif des libéralités était susceptible de modifier la conviction du juge, il leur appartenait d'alléguer les faits pertinents et d'offrir les moyens de preuve adéquats (cf. ATF 116 II 738 consid. 2b). Ce n'est que dans cette hypothèse, non réalisée ici, que les recourants auraient pu se plaindre, si le juge avait refusé d'administrer les preuves sollicitées, d'une transgression de l' art. 8 CC (cf. ATF 130 III 591 consid. 5.4 p. 601 s.).</w:t>
      </w:r>
    </w:p>
    <w:p>
      <w:r>
        <w:t>Le grief de violation de l' art. 8 CC est donc infondé.</w:t>
      </w:r>
    </w:p>
    <w:p>
      <w:r>
        <w:rPr>
          <w:b/>
        </w:rPr>
        <w:t>E. 2.2.2</w:t>
      </w:r>
    </w:p>
    <w:p>
      <w:r>
        <w:t>Il n'en va pas autrement du moyen tiré de l'arbitraire ( art. 9 Cst. ). Au regard des considérations qui précèdent, on cherche en vain en quoi les moyens de preuve évoqués plus haut (contrat de prêt et relevé de compte) seraient de nature à modifier l'issue du litige ( art. 97 al. 1 LTF ).</w:t>
      </w:r>
    </w:p>
    <w:p>
      <w:r>
        <w:t>Quant à la critique selon laquelle la cour précédente ne s'est aucunement souciée de la valeur réelle de l'immeuble ..., elle tombe à faux, l'autorité cantonale ayant expliqué la raison pour laquelle les intimés ont acheté l'immeuble à un prix inférieur à la valeur réelle (arrêt entrepris consid. 3.2 p. 8). En ce qui concerne l'augmentation ultérieure du prix de la villa, il doit être remis dans son contexte. Il ressort des constatations cantonales - qui lient le Tribunal fédéral ( art. 105 al. 1 LTF ) -, que la durée du droit de réméré, puis celle du droit d'emption prévu dans un deuxième temps (en faveur de V.________ SA et/ou N.X.________), ont été prolongées plusieurs fois, la famille X.________ ne disposant pas des liquidités suffisantes aux échéances. On constate ainsi que les termes du contrat initial ont été renégocié et que c'est dans ce contexte que le prix de vente a été augmenté. Les recourants ne tentent pas de démontrer que la cour cantonale aurait tiré des déductions insoutenables - et donc fait preuve d'arbitraire ( art. 9 Cst. ) - sur la base des faits ainsi établis.</w:t>
      </w:r>
    </w:p>
    <w:p>
      <w:r>
        <w:t>Enfin, c'est de manière purement appellatoire que les recourants allèguent que "nonobstant son libellé, la convention du 17 mars 2009 ne pouvait avoir pour objet que d'indemniser au moins partiellement la famille X.________ en raison de la perte de la villa ... et de leur permettre de se reloger dans des conditions suffisantes, soit dix ans en fonction d'une valeur locative de Fr. 4'170.00 par mois". La critique est irrecevable.</w:t>
      </w:r>
    </w:p>
    <w:p>
      <w:r>
        <w:rPr>
          <w:b/>
        </w:rPr>
        <w:t>E. 3.1</w:t>
      </w:r>
    </w:p>
    <w:p>
      <w:r>
        <w:t>Les recourants, font grief à la cour cantonale d'avoir transgressé l' art. 18 CO . On ne voit pas en quoi cette disposition aurait été violée et les recourants ne fournissent pas une motivation suffisante sous cet angle (cf. art. 42 al. 1 LTF ). Ils semblent plutôt vouloir contester la volonté commune et réelle des parties, telle qu'elle a été établie par l'autorité précédente. Savoir qu'elle était la commune et réelle intention des cocontractants est une question de fait ( ATF 135 III 410 consid. 3.2 p. 412 s.) et il incombait dès lors aux recourants d'indiquer, de manière circonstanciée, en quoi la cour cantonale aurait fait preuve d'arbitraire ( art. 9 Cst. ) en établissant cette intention. Les recourants ne fournissent toutefois aucun motivation complémentaire, par rapport à celle déjà examinée ci-dessus (cf. supra consid. 2.2.2), sous l'angle de l'arbitraire. Le moyen est irrecevable.</w:t>
      </w:r>
    </w:p>
    <w:p>
      <w:r>
        <w:rPr>
          <w:b/>
        </w:rPr>
        <w:t>E. 3.2</w:t>
      </w:r>
    </w:p>
    <w:p>
      <w:r>
        <w:t>Les recourants reprochent à la cour cantonale d'avoir ignoré la portée des art. 20 et 21 CO . Ils se bornent toutefois à fournir une argumentation visant à établir l'existence d'une lésion en relevant, d'ailleurs de manière essentiellement appellatoire (cf. supra consid. 1.3) qu'en augmentant artificiellement la valeur du droit d'emption, les intimés voulait s'assurer de pouvoir conserver la propriété et la jouissance de la villa ... "à des conditions sans commune mesure avec la valeur vénale objective de cette propriété". Ils concluent que l'autorité cantonale aurait dû sanctionner le déséquilibre des prestations en mettant en oeuvre "l' art. 20 CO comme conséquence d'une situation de lésion au sens de l' art. 21 CO ".</w:t>
      </w:r>
    </w:p>
    <w:p>
      <w:r>
        <w:t>La prétendue violation de l' art. 21 CO doit être d'emblée écartée, les recourants reconnaissant eux-mêmes ne pas avoir déclaré résilier le contrat dans le délai d'un an dès la conclusion du contrat. En outre, la question d'une disproportion évidente entre les prestations est réglée de façon exclusive par l' art. 21 CO et l' art. 20 CO ne saurait être mis en oeuvre dans ce contexte (arrêt 4C.276/1988 du 26 septembre 1989 consid. 4c). Enfin, les recourants ne fournissent pas le début d'une motivation permettant de comprendre en quoi l' art. 20 CO aurait été, quant à lui seul, transgressé par l'autorité cantonale. L'exigence de l' art. 42 al. 1 LTF n'étant pas remplie, il n'y a pas lieu d'entrer en matière.</w:t>
      </w:r>
    </w:p>
    <w:p>
      <w:r>
        <w:t>Les recourants sont d'avis que, dès lors que les engagements souscrits sont contraires à l' art. 20 CO , la cour cantonale aurait dû refuser toute protection aux intimés sur la base de l' art. 27 al. 2 CC . L'argument, pour autant qu'on le comprenne, tombe à faux, les recourants n'ayant pas démontré une violation de l' art. 20 CO . En outre, ils n'indiquent pas en quoi, l' art. 27 al. 2 CO , indépendamment du rapport qu'ils tentent de tisser avec l' art. 20 CO , aurait été violé et il n'y a pas lieu de s'y attarder (cf. art. 42 al. 1 LTF ).</w:t>
      </w:r>
    </w:p>
    <w:p>
      <w:r>
        <w:rPr>
          <w:b/>
        </w:rPr>
        <w:t>E. 3.3</w:t>
      </w:r>
    </w:p>
    <w:p>
      <w:r>
        <w:t>Enfin, les recourants tentent de suggérer que certains versements "incitent à penser" que les intimés ont tenté d'abuser de la faiblesse de N.X.________ en cherchant à influer sur sa volonté de conclure, respectivement de le faire à des conditions objectivement raisonnables. Ils considèrent qu'il "pourrait y avoir dol au sens de l'article 28 CO".</w:t>
      </w:r>
    </w:p>
    <w:p>
      <w:r>
        <w:t>La recevabilité du grief est fort douteuse. Il n'appartient en effet pas au Tribunal fédéral d'examiner un moyen qui semble être considéré comme une simple hypothèse par la partie recourante elle-même. Quoiqu'il en soit, la critique est infondée, les recourants n'ayant jamais allégué avoir communiqué aux intimés la déclaration exigée par l' art. 31 al. 1 CO .</w:t>
      </w:r>
    </w:p>
    <w:p>
      <w:r>
        <w:rPr>
          <w:b/>
        </w:rPr>
        <w:t>E. 4</w:t>
      </w:r>
    </w:p>
    <w:p>
      <w:r>
        <w:t>Il résulte des considérants qui précèdent que le recours doit être rejeté dans la mesure de sa recevabilité.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