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18/2010 vom 15. März 2010</w:t>
      </w:r>
    </w:p>
    <w:p>
      <w:r>
        <w:t>Bundesgericht, 2010-03-15, FR</w:t>
      </w:r>
    </w:p>
    <w:p>
      <w:r>
        <w:rPr>
          <w:b/>
        </w:rPr>
        <w:t xml:space="preserve">Quelle: </w:t>
      </w:r>
      <w:r>
        <w:t>https://mcp.opencaselaw.ch/entscheid/bger_4A_18_2010</w:t>
      </w:r>
    </w:p>
    <w:p>
      <w:r>
        <w:t>FR: TF 4A 18/2010 du 15 mars 2010</w:t>
      </w:r>
    </w:p>
    <w:p>
      <w:r>
        <w:t>IT: TF 4A 18/2010 del 15 marzo 2010</w:t>
      </w:r>
    </w:p>
    <w:p>
      <w:pPr>
        <w:pStyle w:val="Heading2"/>
      </w:pPr>
      <w:r>
        <w:t>Regeste</w:t>
      </w:r>
    </w:p>
    <w:p>
      <w:r>
        <w:t>assurance-maladie complémentaire; portefeuille fermé | Droit des contrats</w:t>
      </w:r>
    </w:p>
    <w:p>
      <w:pPr>
        <w:pStyle w:val="Heading2"/>
      </w:pPr>
      <w:r>
        <w:t>Erwägungen</w:t>
      </w:r>
    </w:p>
    <w:p>
      <w:r>
        <w:rPr>
          <w:b/>
        </w:rPr>
        <w:t>E. 1</w:t>
      </w:r>
    </w:p>
    <w:p>
      <w:r>
        <w:t>Le Tribunal fédéral examine d'office et librement la recevabilité des recours qui lui sont soumis ( ATF 135 III 1 consid. 1.1 p. 3, 329 consid. 1 p. 331).</w:t>
      </w:r>
    </w:p>
    <w:p>
      <w:r>
        <w:rPr>
          <w:b/>
        </w:rPr>
        <w:t>E. 1.1</w:t>
      </w:r>
    </w:p>
    <w:p>
      <w:r>
        <w:t>L'assurance complémentaire pour hospitalisation en division demi-privée est une assurance complémentaire à l'assurance obligatoire des soins. Elle est soumise à la LCA ( art. 12 al. 3 LAMal ). La contestation opposant les parties est donc de nature civile (cf. art. 72 al. 1 LTF ; ATF 133 III 439 consid. 2.1 p. 441 s. et l'arrêt cité). Il s'agit en outre d'une affaire pécuniaire dès lors que le litige porte sur la possibilité pour l'assurée de conclure une assurance complémentaire moins onéreuse. En principe, la décision rendue dans une telle contestation peut être attaquée par un recours en matière civile pour autant que la valeur litigieuse de 30'000 fr. soit atteinte ( art. 74 al. 1 let. b LTF ). La valeur litigieuse est déterminée par les conclusions restées contestées devant l'autorité précédente ( art. 51 al. 1 let. a LTF ). Si les conclusions ne tendent pas au paiement d'une somme d'argent déterminée, la valeur litigieuse fera l'objet d'une appréciation ( art. 51 al. 2 LTF ). En l'espèce, l'autorité cantonale n'a pas mentionné la valeur litigieuse bien que la loi lui en fasse obligation (cf. art. 112 al. 1 let . d LTF). Selon la recourante, la différence entre la prime annuelle de l'assurance actuelle de l'intimée et celle de l'assurance dans laquelle l'assurée demande à être transférée était de 2'466 fr. en 2008; à ce moment-là, l'intimée était âgée de 72 ans et son espérance de vie moyenne était de 18 ans (Stauffer/Schaetzle, Tables de capitalisation, 5e éd. 2001, tableau n° 42). La valeur litigieuse peut ainsi être fixée à 44'388 fr. (18 x 2'466 fr.) si bien que le recours en matière civile est ouvert ratione valoris.</w:t>
      </w:r>
    </w:p>
    <w:p>
      <w:r>
        <w:rPr>
          <w:b/>
        </w:rPr>
        <w:t>E. 1.2</w:t>
      </w:r>
    </w:p>
    <w:p>
      <w:r>
        <w:t>L'arrêt attaqué termine la cause (cf. art. 90 LTF ). L'exigence légale selon laquelle la dernière instance cantonale statue sur recours n'est pas encore en vigueur (cf. art. 75 al. 2 et art. 130 al. 2 LTF ). Le fait que le Tribunal cantonal des assurances sociales a statué en instance unique n'exclut donc pas le recours. Le recours en matière civile est ainsi recevable. Il s'ensuit l'irrecevabilité du recours constitutionnel subsidiaire ( art. 113 LTF ).</w:t>
      </w:r>
    </w:p>
    <w:p>
      <w:r>
        <w:rPr>
          <w:b/>
        </w:rPr>
        <w:t>E. 2</w:t>
      </w:r>
    </w:p>
    <w:p>
      <w:r>
        <w:t>A titre liminaire, il y a lieu de traiter la requête incidente de la recourante relative aux nouvelles pièces produites en instance fédérale. Il s'agit de décider si l'intimée peut en prendre connaissance et, dans la négative, quel contenu essentiel lui en sera communiqué (cf. art. 56 al. 2 et 3 LTF ). Mais d'abord, il convient d'examiner si la production de ces pièces est admissible à ce stade. En effet, si tel n'est pas le cas, les documents en cause doivent être écartés du dossier et la question de la protection du secret d'affaires de la recourante ne se pose plus.</w:t>
      </w:r>
    </w:p>
    <w:p>
      <w:r>
        <w:rPr>
          <w:b/>
        </w:rPr>
        <w:t>E. 2.1</w:t>
      </w:r>
    </w:p>
    <w:p>
      <w:r>
        <w:t>Dans un recours au Tribunal fédéral, aucun fait nouveau ni preuve nouvelle ne peut être présenté à moins de résulter de la décision de l'autorité précédente ( art. 99 al. 1 LTF ). L'exclusion des faits et moyens de preuve nouveaux est la règle; en tant que cour suprême, le Tribunal fédéral est juge du droit, et non juge du fait. La règle connaît une exception lorsque, selon les textes allemand et italien plus précis que la formulation française sur ce point, la décision de l'autorité précédente est le motif pour présenter de nouveaux faits ou moyens de preuve (der Entscheid der Vorinstanz dazu Anlass gibt; se ne dà motivo la decisione dell'autorità inferiore) ou, en d'autres termes, lorsque c'est la décision de l'autorité précédente qui, pour la première fois, a rendu pertinents ces faits ou moyens de preuve. Il peut s'agir de faits et moyens de preuve qui se rapportent à la régularité de la procédure devant l'instance précédente (par exemple une violation du droit d'être entendu lors de l'instruction) ou qui sont déterminants pour la recevabilité du recours au Tribunal fédéral (par exemple la date de notification de la décision attaquée) ou encore qui sont propres à contrer une argumentation de l'autorité précédente objectivement imprévisible pour les parties avant la réception de la décision (Message du 28 février 2001 concernant la révision totale de l'organisation judiciaire fédérale, FF 2001 4137 ch. 4.1.4.3). En revanche, le recourant ne peut pas alléguer des faits ou produire des moyens de preuve nouveaux qu'il a omis d'alléguer ou de produire devant l'autorité précédente; pour contester l'état de fait retenu par l'autorité précédente, il ne saurait se fonder sur des faits ou moyens de preuve nouveaux qu'il était en mesure de présenter à cette autorité et dont il devait discerner la pertinence éventuelle (arrêt 4A_36/2008 du 18 février 2008 consid. 4.1). La possibilité de présenter des faits ou des moyens de preuve nouveaux en instance de recours fédérale est exceptionnelle et ne sert pas à corriger des omissions antérieures.</w:t>
      </w:r>
    </w:p>
    <w:p>
      <w:r>
        <w:rPr>
          <w:b/>
        </w:rPr>
        <w:t>E. 2.2</w:t>
      </w:r>
    </w:p>
    <w:p>
      <w:r>
        <w:t>Selon le recours, les pièces nouvelles produites contiennent une partie des informations que l'autorité cantonale a requises par ordonnance du 24 juillet 2008, confirmée par ordonnance du 18 septembre 2008 et par arrêt du 18 décembre 2008. Le 22 juin 2009, la recourante a déclaré à l'autorité cantonale être disposée à transmettre les informations dès que la protection du secret d'affaires lui serait formellement garantie. Il s'agit donc manifestement de faits et moyens de preuve que la recourante pouvait présenter à l'autorité cantonale et dont elle devait discerner la pertinence pour le sort de la cause. Leur production dans la présente procédure fédérale n'est dès lors pas admissible. Cela vaut également pour les informations relatives aux affiliations postérieures à 2007. L'autorité cantonale avait demandé à quelle date remontait la dernière conclusion d'une police d'assurance «B», sans fixer de limite dans le temps. C'est la recourante qui a décidé que celles postérieures à fin 2007 n'étaient pas pertinentes. Or, il est manifeste que, pour juger si cette assurance relève d'un portefeuille fermé, l'existence ou le défaut d'affiliations après cette date peuvent jouer un rôle. La recourante ne saurait prendre prétexte de sa fausse conception juridique pour se prévaloir d'une argumentation imprévisible de l'autorité cantonale. La recourante soutient également que la cour cantonale l'a empêchée de produire les nouvelles pièces en violation de son droit d'être entendue. Pour démontrer la justesse d'une telle critique, l'auteur du recours peut présenter des faits ou moyens de preuve nouveaux susceptibles de prouver la violation du droit d'être entendu; en revanche, il ne peut pas en profiter pour compléter les faits de la cause en introduisant en instance fédérale les éléments qu'il prétend avoir été empêché de produire en instance cantonale. Si le grief tiré de la violation du droit d'être entendu se révélait fondé, l'arrêt attaqué serait annulé et la cause renvoyée à l'autorité précédente auprès de laquelle les pièces pourraient alors être déposées.</w:t>
      </w:r>
    </w:p>
    <w:p>
      <w:r>
        <w:rPr>
          <w:b/>
        </w:rPr>
        <w:t>E. 2.3</w:t>
      </w:r>
    </w:p>
    <w:p>
      <w:r>
        <w:t>En conclusion, les conditions pour la présentation de nouveaux faits et moyens de preuve dans la procédure de recours fédérale ne sont pas remplies en l'espèce. Partant, il ne sera pas tenu compte des faits nouvellement allégués et les pièces produites sous pli fermé seront écartées du dossier. Par la même occasion, les mesures de protection requises par la recourante deviennent sans objet.</w:t>
      </w:r>
    </w:p>
    <w:p>
      <w:r>
        <w:rPr>
          <w:b/>
        </w:rPr>
        <w:t>E. 3</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ces griefs, l'acte de recours doit, sous peine d'irrecevabilité, contenir nécessairement un exposé succinct des droits ou principes constitutionnels violés et exposer de manière claire et circonstanciée en quoi consiste leur violation ( ATF 134 I 83 consid. 3.2 p. 88 et les arrêts cités). Pour le reste, le Tribunal fédéral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w:t>
      </w:r>
    </w:p>
    <w:p>
      <w:r>
        <w:rPr>
          <w:b/>
        </w:rPr>
        <w:t>E. 4.1</w:t>
      </w:r>
    </w:p>
    <w:p>
      <w:r>
        <w:t>L'arrêt attaqué est fondé sur l' art. 156 OS relatif aux portefeuilles fermés. L'alinéa 1 de cette disposition prévoit que, si une entreprise d'assurance n'inclut plus de contrats d'assurance dans un portefeuille (portefeuille fermé), les preneurs d'assurance de ce portefeuille ont le droit de conclure, en remplacement du contrat d'assurance en cours, un contrat aussi équivalent que possible intégré dans un portefeuille ouvert de l'entreprise d'assurance ou d'une entreprise d'assurance appartenant au même groupe d'assurance, pour autant que l'entreprise d'assurance ou l'entreprise du groupe exploite un tel portefeuille ouvert. L' art. 156 al. 3 OS précise que l'âge et l'état de santé du preneur d'assurance lors de la conclusion du contrat en cours sont déterminants pour le calcul de la prime lors du passage au nouveau contrat. Le Conseil fédéral a adopté l' art. 156 OS en vertu de la délégation prévue à l'art. 31 de la loi fédérale du 17 décembre 2004 sur la surveillance des entreprises d'assurance (loi sur la surveillance des assurances, LSA; RS 961.01), lequel l'autorise à édicter des restrictions à la pratique de certaines branches d'assurance afin de protéger les assurés. Dans le domaine de l'assurance-maladie complémentaire à l'assurance-maladie sociale, l' art. 31 LSA devait notamment permettre au Conseil fédéral d'édicter des dispositions applicables aux groupes d'âge élevé afin de protéger les assurés les plus âgés. Il devait également constituer la base pour des dispositions régissant la relation entre entreprise d'assurance et assurés (Message du 9 mai 2003 concernant une loi sur la surveillance des entreprises d'assurance et la modification de la LCA, FF 2003 3386 s. ch. 2.1.2.3.6). L' art. 31 LSA a été adopté sans discussion par les deux Chambres (BO CE 2003 1228; BO CN 2004 391). Cette disposition légale correspond textuellement à l' art. 7 al. 1 2 ème phrase de l'ancienne loi fédérale du 23 juin 1978 sur la surveillance des institutions d'assurance privées (aLSA; RO 1978 1836) dans sa teneur adoptée le 20 mars 1992 (RO 1992 2373). La délégation de compétence prévue à l' art. 7 aLSA devait permettre au Conseil fédéral d'édicter des mesures protectrices notamment en matière d'assurance-maladie (Message du 14 août 1991 relatif notamment à une loi fédérale sur l'assurance directe autre que l'assurance sur la vie, FF 1991 IV 21 ch. 237.2). L' art. 31 LSA doit être compris en relation avec l'art. 1 al. 2 et avec l' art. 46 al. 1 let . f LSA. La première disposition définit la protection des assurés contre les abus comme l'un des buts de la LSA. La seconde norme précise que l'une des tâches de la surveillance est de protéger les assurés contre les abus commis par des entreprises d'assurance ou des intermédiaires (cf. Weber/Umbach, Versicherungsaufsichtsrecht, 2006, n. 149 ss p. 133 ss). Dans le cadre de la révision de la LCA en cours, il est prévu un nouvel art. 116 qui reprend pour l'essentiel la réglementation de l' art. 156 OS , sauf à donner le droit à l'assuré de conclure un nouveau contrat déjà lorsque l'entreprise d'assurance «n'affecte généralement plus de contrats individuels à un portefeuille d'assurance». Le rapport explicatif du 24 février 2009 décrit la situation à l'origine de ce projet de disposition de la manière suivante: Des entreprises d'assurance offrent parfois à des preneurs d'assurance, jeunes et en bonne santé, de nouveaux produits assortis de primes avantageuses ressemblant largement aux produits existants, tandis que les personnes déjà assurées qui présentent un risque de maladie plus élevé ne se voient pas proposer de tels produits et restent dans leur portefeuille actuel, qui par conséquent n'est plus élargi (portefeuille fermé). Si l'entreprise d'assurance n'ajoute plus de bons risques dans le portefeuille, les primes risquent d'augmenter massivement, rendant ainsi l'assurance complémentaire hors de prix pour de nombreux preneurs d'assurance, alors même que ceux-ci se sont acquittés de leurs primes pendant de nombreuses années. Le but est d'éviter de telles conséquences en octroyant au preneur d'assurance d'un portefeuille fermé le droit de conclure, en lieu et place du contrat précédent, un contrat aussi équivalent que possible dans un portefeuille ouvert de l'entreprise d'assurance ou d'une entreprise d'assurance appartenant au même groupe (Département fédéral des finances, Rapport explicatif relatif au projet de révision de la LCA, nouvelle version du 24 février 2009, ch. 2.2.27; cf. Weber/Umbach, op. cit., n. 54 s. p. 165 s.).</w:t>
      </w:r>
    </w:p>
    <w:p>
      <w:r>
        <w:rPr>
          <w:b/>
        </w:rPr>
        <w:t>E. 4.2</w:t>
      </w:r>
    </w:p>
    <w:p>
      <w:r>
        <w:t>La recourante conteste la légalité et la constitutionnalité de l' art. 156 OS . Elle soutient que cette disposition est contraire à l' art. 31 LSA et invoque par ailleurs les principes constitutionnels de la liberté économique ( art. 27 Cst. ), de la légalité ( art. 36 Cst. ), de la proportionnalité ( art. 5 al. 2 Cst. ), de l'égalité de traitement ( art. 8 Cst. ) et de la bonne foi ( art. 9 Cst. ). Le Tribunal fédéral peut examiner à titre préjudiciel la légalité et la constitutionnalité d'ordonnances du Conseil fédéral. Lorsqu'il se prononce sur une ordonnance fondée sur une délégation législative, il examine si elle reste dans les limites des pouvoirs conférés par la loi au Conseil fédéral, mais il ne peut pas contrôler si la délégation elle-même est admissible. Si l'ordonnance est conforme à la loi, il examine sa constitutionnalité, à moins que la loi permette d'y déroger. Lorsque la délégation accorde au Conseil fédéral un large pouvoir d'appréciation pour réglementer la matière par ordonnance, le Tribunal fédéral se limite à contrôler si l'ordonnance est contraire à la loi ou à la Constitution; il n'est pas habilité à substituer sa propre appréciation à celle du Conseil fédéral ( ATF 131 II 562 consid. 3.2 p. 566; 130 I 26 consid. 2.2.1 p. 32; 128 IV 177 consid. 2.1 p. 180; 126 III 36 consid. 2b/bb p. 39).</w:t>
      </w:r>
    </w:p>
    <w:p>
      <w:r>
        <w:rPr>
          <w:b/>
        </w:rPr>
        <w:t>E. 4.3</w:t>
      </w:r>
    </w:p>
    <w:p>
      <w:r>
        <w:t>La recourante prétend tout d'abord que l' art. 156 OS sort du cadre de la délégation prévue par l' art. 31 LSA . Par ailleurs, cette disposition aurait été conçue comme une norme de protection tendant à parer aux dérives éventuelles liées à la suppression du contrôle systématique préalable des produits. Or, ce contrôle aurait été finalement maintenu sous son ancienne forme pour les assurances-maladie complémentaires ( art. 4 al. 2 let . r LSA), de sorte que l' art. 31 LSA serait obsolète pour ce domaine.</w:t>
      </w:r>
    </w:p>
    <w:p>
      <w:r>
        <w:rPr>
          <w:b/>
        </w:rPr>
        <w:t>E. 4.3.1</w:t>
      </w:r>
    </w:p>
    <w:p>
      <w:r>
        <w:t>L' art. 156 OS tend à protéger les preneurs d'assurances complémentaires âgés. Il s'agit d'éviter que ces assurés-là soient poussés à résilier leur assurance complémentaire à cause d'une augmentation massive des primes due au mécanisme du portefeuille fermé. Plus généralement, l' art. 156 OS vise à empêcher que les entreprises d'assurance puissent, par un système de portefeuilles fermés successifs (splitting), acquérir les bons risques, puis se débarrasser ultérieurement de ces assurés lorsque, de par leur âge, ils sont devenus de mauvais risques. Dans cette mesure, l' art. 156 OS respecte pleinement tant la lettre de l' art. 31 LSA que le but précisé dans le Message et nullement remis en cause lors des débats parlementaires (cf. consid. 4.1 supra).</w:t>
      </w:r>
    </w:p>
    <w:p>
      <w:r>
        <w:rPr>
          <w:b/>
        </w:rPr>
        <w:t>E. 4.3.2</w:t>
      </w:r>
    </w:p>
    <w:p>
      <w:r>
        <w:t>Il est exact que le projet du Conseil fédéral prévoyait d'abandonner le contrôle systématique préalable des produits et que le parlement ne l'a pas entièrement suivi sur ce point. Selon une disposition introduite lors des débats parlementaires, les entreprises d'assurance doivent présenter un plan d'exploitation contenant également les tarifs et les conditions générales appliquées en Suisse pour l'assurance de l'ensemble des risques dans la prévoyance sociale et dans l'assurance complémentaire à l'assurance-maladie sociale ( art. 4 al. 2 let . r LSA). Le but de cette norme était essentiellement de pouvoir continuer à procéder à un contrôle préalable des tarifs (cf. BO CE 2003 1225 s.; BO CN 2004 382 s.; cf. Weber/Umbach, op. cit., n. 47 ss p. 163 ss). Lors de la discussion sur le maintien du contrôle préventif, le représentant du gouvernement a indiqué expressément que, nonobstant la décision du parlement, le Conseil fédéral fixerait dans son ordonnance des conditions cadres claires, notamment pour les conditions d'assurance; cette déclaration n'a pas suscité de réaction (BO CN 2004 382). Ceci posé, la critique de la recourante n'est pas fondée. L' art. 31 LSA reprend simplement la délégation de compétence déjà prévue à l' art. 7 al. 1 2 ème phrase aLSA. Cette dernière disposition avait été adoptée à une époque où le contrôle préalable existait; la délégation qu'elle instituait allait donc nécessairement au-delà du cadre du contrôle préalable, y compris dans le domaine de l'assurance-maladie. Or, en adoptant l' art. 31 LSA , le législateur n'entendait à l'évidence pas restreindre la portée de cette délégation. Le maintien ultérieur du contrôle préventif par le parlement n'était dès lors pas en soi propre à priver la délégation de compétence de toute portée en matière d'assurance-maladie complémentaire. En outre, il n'était manifestement pas dans l'intention du parlement d'être plus restrictif et d'exclure les assurances complémentaires du champ d'application de l' art. 31 LSA . La volonté clairement affichée de protéger les assurés et le défaut de toute réaction, lors de la discussion tant de l' art. 4 LSA que de l' art. 31 LSA et après l'intention exprimée par le représentant du gouvernement d'user le moment venu de la compétence donnée par l' art. 31 LSA , ne peuvent être interprétés que comme un acquiescement tacite du législateur. Que le Conseil fédéral envisage aujourd'hui d'inscrire la règle de l' art. 156 OS dans la LCA ne change rien à cet égard.</w:t>
      </w:r>
    </w:p>
    <w:p>
      <w:r>
        <w:rPr>
          <w:b/>
        </w:rPr>
        <w:t>E. 4.4</w:t>
      </w:r>
    </w:p>
    <w:p>
      <w:r>
        <w:t>La recourante soutient que l' art. 156 OS contraint les entreprises d'assurance à passer des contrats contre leur gré en matière d'assurance-maladie complémentaire et viole ainsi leur liberté contractuelle, garantie par le principe constitutionnel de la liberté économique ( art. 27 Cst. ).</w:t>
      </w:r>
    </w:p>
    <w:p>
      <w:r>
        <w:rPr>
          <w:b/>
        </w:rPr>
        <w:t>E. 4.4.1</w:t>
      </w:r>
    </w:p>
    <w:p>
      <w:r>
        <w:t>L' art. 27 Cst. garantit la liberté économique qui comprend notamment le libre choix de la profession, le libre accès à une activité économique lucrative privée et son libre exercice. Cette liberté protège toute activité économique privée, exercée à titre professionnel et tendant à la production d'un gain ou d'un revenu ( ATF 134 I 214 consid. 3 p. 215 s. et les arrêts cités). La garantie de la liberté contractuelle, consacrée explicitement aux art. 1er et 19 CO , fait partie intégrante de l'aspect constitutif de la liberté économique ( ATF 131 I 333 consid. 4 p. 339). Une restriction à une liberté fondamentale est admissible si elle repose sur une base légale - qui, en cas d'atteinte grave, doit être une loi au sens formel -, si elle est justifiée par un intérêt public ou par la protection d'un droit fondamental d'autrui et si elle est proportionnée au but visé ( art. 36 al. 1-3 Cst. ; ATF 134 I 214 consid. 5.4 p. 217; 133 I 27 consid. 3.1 p. 28). Lorsque la restriction n'est pas grave, la base légale peut se trouver dans des actes de rang infra-légal ou dans une clause générale, ce que le Tribunal fédéral examine sous l'angle restreint de l'arbitraire. Pour le surplus, le Tribunal fédéral vérifie librement si les exigences de l'intérêt public et de la proportionnalité sont respectées ( ATF 131 I 333 consid. 4 p. 339 s.; 129 I 173 consid. 2.2 p. 177).</w:t>
      </w:r>
    </w:p>
    <w:p>
      <w:r>
        <w:rPr>
          <w:b/>
        </w:rPr>
        <w:t>E. 4.4.2</w:t>
      </w:r>
    </w:p>
    <w:p>
      <w:r>
        <w:t>En prétendant que l' art. 156 OS oblige les entreprises d'assurance à conclure des contrats contre leur gré, la recourante présente les choses de manière très réductrice. En effet, l'assureur n'est astreint ni à conclure des contrats avec de nouveaux assurés, ni à accorder aux assurés actuels une couverture d'assurance fondamentalement différente. L' art. 156 OS n'impose pas de nouvelle relation contractuelle à l'entreprise d'assurance; le cas échéant, il l'oblige uniquement à corriger une détérioration de la situation contractuelle des assurés actuels au niveau des primes, péjoration que l'assureur a lui-même provoquée. Ainsi, l' art. 156 OS tend essentiellement à limiter la possibilité des entreprises d'assurance d'influer sur des relations contractuelles existantes au détriment de leurs assurés par le système du portefeuille fermé; l'obligation de conclure un nouveau contrat similaire au contrat actuel n'en est que le corollaire. En outre, la faculté des entreprises d'assurance de conclure des assurances complémentaires n'est nullement touchée par la disposition critiquée; les assureurs sont uniquement limités dans leur possibilité d'avantager ou de désavantager certaines catégories d'assurés par le biais des portefeuilles fermés. La restriction à la liberté contractuelle n'apparaît ainsi pas grave, de sorte qu'elle peut être instituée par une ordonnance du Conseil fédéral.</w:t>
      </w:r>
    </w:p>
    <w:p>
      <w:r>
        <w:rPr>
          <w:b/>
        </w:rPr>
        <w:t>E. 4.4.3</w:t>
      </w:r>
    </w:p>
    <w:p>
      <w:r>
        <w:t>La restriction en cause répond en outre à l'intérêt public, lequel commande assurément que les assurances-maladie complémentaires ne soient pas rendues inabordables pour la plupart des assurés âgés. A cet égard, la coexistence entre assurance-maladie sociale et assurance complémentaire privée suppose que la seconde, bien que régie par les lois du marché, ne soit pas, dans les faits, une assurance essentiellement pour personnes jeunes et en bonne santé. L'assurance complémentaire n'est pas simplement une assurance destinée à couvrir des besoins de luxe (cf. Raymond Spira, Le nouveau régime de l'assurance-maladie complémentaire, RSA 1995 p. 199). Elle offre des prestations en matière de santé dont les assurés doivent légitimement pouvoir continuer à bénéficier lorsqu'ils avancent en âge. La santé n'est pas un bien comme un autre et il ne saurait être fait abstraction de toute considération de politique sociale dans ce domaine.</w:t>
      </w:r>
    </w:p>
    <w:p>
      <w:r>
        <w:rPr>
          <w:b/>
        </w:rPr>
        <w:t>E. 4.4.4</w:t>
      </w:r>
    </w:p>
    <w:p>
      <w:r>
        <w:t>Pour être conforme au principe de la proportionnalité, une restriction d'un droit fondamental doit être apte à atteindre le but visé, lequel ne peut pas être atteint par une mesure moins incisive; il faut en outre qu'il existe un rapport raisonnable entre les effets de la mesure sur la situation de la personne visée et le résultat escompté du point de vue de l'intérêt public ( ATF 134 I 214 consid. 5.7 p. 218; 132 I 229 consid. 11.3 p. 246; 129 I 12 consid. 9.1 p. 24). A cet égard, la règle de l' art. 156 OS est apte à atteindre le but visé, soit la protection des assurés âgés au bénéfice d'une assurance-maladie complémentaire contre le risque de devoir sortir d'une assurance devenue trop onéreuse. En outre, on ne voit pas comment ce but pourrait être réalisé par une mesure moins contraignante que la possibilité offerte à l'assuré de passer d'une assurance dans un portefeuille fermé à une assurance équivalente dans un portefeuille ouvert du même assureur ou du même groupe d'assureurs. Contrairement à ce que la recourante soutient, le contrôle préalable des tarifs ne suffit pas à préserver les assurés des conséquences liées au système du portefeuille fermé; le présent litige et le projet de révision de la LCA le démontrent d'ailleurs si nécessaire.</w:t>
      </w:r>
    </w:p>
    <w:p>
      <w:r>
        <w:rPr>
          <w:b/>
        </w:rPr>
        <w:t>E. 4.4.5</w:t>
      </w:r>
    </w:p>
    <w:p>
      <w:r>
        <w:t>En résumé, la restriction à la liberté contractuelle apportée par l' art. 156 OS repose sur une base légale suffisante, est justifiée par un intérêt public et respecte le principe de la proportionnalité.</w:t>
      </w:r>
    </w:p>
    <w:p>
      <w:r>
        <w:rPr>
          <w:b/>
        </w:rPr>
        <w:t>E. 4.5</w:t>
      </w:r>
    </w:p>
    <w:p>
      <w:r>
        <w:t>Selon la recourante, les mesures envisagées par l' art. 156 OS sont source d'inégalité de traitement ( art. 8 Cst. ), car elles faussent la libre concurrence en imposant des restrictions à certains assureurs uniquement. Cette critique est mal fondée. En effet, l' art. 156 OS ne crée pas d'inégalité de traitement entre les entreprises d'assurance qui offrent plusieurs produits similaires et celles qui ne le font pas. Dès lors que ces dernières n'ont qu'un seul produit, tous les assurés bénéficient de la même assurance. Si ce portefeuille est fermé sans qu'un nouveau portefeuille similaire ne soit ouvert et que l'entreprise d'assurance renonce ainsi à conclure de nouveaux contrats - ce qu'elle est libre de faire -, tous ses assurés restent logés à la même enseigne. Le problème à la base de la réglementation de l' art. 156 OS ne se pose tout simplement pas.</w:t>
      </w:r>
    </w:p>
    <w:p>
      <w:r>
        <w:rPr>
          <w:b/>
        </w:rPr>
        <w:t>E. 4.6</w:t>
      </w:r>
    </w:p>
    <w:p>
      <w:r>
        <w:t>La recourante fait valoir également que l' art. 156 OS viole le principe de la bonne foi ( art. 9 Cst. ) et l'interdiction de la rétroactivité des normes. La disposition incriminée restreindrait, notamment par une augmentation des primes due à la péjoration de la structure de risque, les droits de l'ensemble des assurés, y compris de ceux qui ont conclu une assurance complémentaire avant l'entrée en vigueur de l' art. 156 OS et qui pouvaient compter sur le fait que les règles ne changeraient pas. Entré en vigueur le 1er janvier 2006, l' art. 156 OS n'a pas d'effet rétroactif. Il ne donne pas le droit au preneur d'assurance d'un portefeuille fermé de demander à être intégré dans un portefeuille ouvert à une date antérieure au 1er janvier 2006. Il ne rétroagit donc pas non plus sur le niveau des primes des autres assurés pour la période antérieure au 1er janvier 2006; il est uniquement susceptible d'influer sur les primes postérieures à son entrée en vigueur. Pour le reste, l' art. 156 OS veut faire obstacle à un système par lequel l'entreprise d'assurance désavantage les assurés âgés. On ne discerne pas en quoi la bonne foi ou, pour reprendre les termes de la recourante, la confiance que les citoyens peuvent mettre en leurs autorités, postulerait que le législateur doit garantir à l'entreprise d'assurance de pouvoir continuer indéfiniment à défavoriser ses assurés âgés et aux autres assurés d'en profiter. Les primes favorables offertes à certains assurés grâce au mécanisme du portefeuille fermé ne sauraient en elles-mêmes justifier ce système. Une éventuelle augmentation de prime pour les assurés en question est une conséquence logique de la règle de l' art. 156 OS . Si de telles majorations contreviennent à des engagements pris par l'entreprise d'assurance, il appartient à cette dernière, et non aux assurés prétérités par le système du portefeuille fermé, d'en supporter les conséquences.</w:t>
      </w:r>
    </w:p>
    <w:p>
      <w:r>
        <w:rPr>
          <w:b/>
        </w:rPr>
        <w:t>E. 4.7</w:t>
      </w:r>
    </w:p>
    <w:p>
      <w:r>
        <w:t>Sur le vu de ce qui précède, il convient, à l'instar de la cour cantonale, de reconnaître la légalité et la constitutionnalité de l' art. 156 OS .</w:t>
      </w:r>
    </w:p>
    <w:p>
      <w:r>
        <w:rPr>
          <w:b/>
        </w:rPr>
        <w:t>E. 5</w:t>
      </w:r>
    </w:p>
    <w:p>
      <w:r>
        <w:t>Invoquant l' art. 29 al. 2 Cst. , la recourante se plaint également d'une violation de son droit d'être entendue, au motif que l'instruction de la cause aurait été interrompue abruptement à un moment où elle offrait de produire les pièces demandées en vue d'examiner si le contrat d'assurance de l'intimée relevait d'un portefeuille fermé. La recourante critique le fait que l'autorité cantonale n'a pas rendu la décision incidente requise à propos du secret des affaires. Elle fait état d'une atteinte à son droit à bénéficier d'une procédure équitable dès lors que ses conclusions, clairement formulées et dûment motivées, ont été purement et simplement ignorées.</w:t>
      </w:r>
    </w:p>
    <w:p>
      <w:r>
        <w:rPr>
          <w:b/>
        </w:rPr>
        <w:t>E. 5.1</w:t>
      </w:r>
    </w:p>
    <w:p>
      <w:r>
        <w:t>Tel qu'il est garanti à l' art. 29 al. 2 Cst. , le droit d'être entendu, comprend notamment le droit pour l'intéressé de s'exprimer sur les éléments pertinents avant qu'une décision ne soit prise touchant sa situation juridique, de produire des preuves, d'obtenir qu'il soit donné suite à ses offres de preuve pertinentes, de participer à l'administration des preuves essentielles ou à tout le moins de s'exprimer sur son résultat, lorsque cela est de nature à influer sur la décision à rendre ( ATF 133 I 270 consid. 3.1 p. 277; 129 II 497 consid. 2.2 p. 504 s.; 127 I 54 consid. 2b p. 56; 124 I 48 consid. 3a p. 51 et les arrêts cités).</w:t>
      </w:r>
    </w:p>
    <w:p>
      <w:r>
        <w:rPr>
          <w:b/>
        </w:rPr>
        <w:t>E. 5.2</w:t>
      </w:r>
    </w:p>
    <w:p>
      <w:r>
        <w:t>Par ordonnances de l'autorité cantonale des 24 juillet et 18 septembre 2008 et par jugement du 18 décembre 2008, la recourante a été invitée à produire les pièces litigieuses et rendue attentive aux conséquences d'un refus. Dans l'arrêt de la cour de céans du 1er mai 2009, il a été précisé que la recourante ne risquait pas de dommage irréparable en produisant les pièces requises dès lors que le droit cantonal prévoyait des règles pour protéger le secret d'affaires; en conséquence, le recours contre l'arrêt du 18 décembre 2008 ordonnant notamment la production des pièces a été déclaré irrecevable. Le 22 juin 2009, la recourante a écrit à l'autorité cantonale qu'elle était prête à fournir les pièces en question, exigeant toutefois une décision incidente préalable lui garantissant formellement la protection du secret d'affaires avant de s'exécuter. Il s'ensuit que la recourante a non seulement eu la possibilité de produire les pièces litigieuses, mais qu'elle a même été formellement invitée à les produire, et cela à trois reprises. Son droit de produire des preuves pertinentes a été respecté. Au surplus, la recourante affirme, sans autre démonstration, que le droit de procédure cantonal garantit le prononcé d'une décision incidente au sujet de la protection du secret des affaires. Cette critique ne concerne pas le droit (fédéral) d'être entendu, mais l'application du droit cantonal que le Tribunal fédéral peut examiner uniquement sous l'angle d'une violation de l'interdiction constitutionnelle de l'arbitraire ( ATF 133 III 462 consid. 2.3 p. 466). Or, la recourante n'invoque pas un tel grief et, au demeurant, ne motive pas sa critique. Il n'y a dès lors pas à entrer en matière. En tout état de cause, on ne voit guère comment le juge pourrait déterminer si un moyen de preuve est couvert par le secret d'affaires avant d'en avoir pris connaissance. Pour le surplus, la recourante ne démontre pas en quoi le droit d'être entendu imposerait au juge de statuer sur une requête que le destinataire de ses ordonnances formule comme condition pour se soumettre auxdites décisions ou, en d'autres termes, le contraindrait d'entrer en matière sur des tentatives de marchandage relatives à l'exécution de décisions qu'il a rendues. En conclusion, le moyen tiré d'une violation du droit d'être entendu est mal fondé pour autant qu'il soit recevable.</w:t>
      </w:r>
    </w:p>
    <w:p>
      <w:r>
        <w:rPr>
          <w:b/>
        </w:rPr>
        <w:t>E. 6.1</w:t>
      </w:r>
    </w:p>
    <w:p>
      <w:r>
        <w:t>Dans une argumentation confuse, la recourante se plaint d'arbitraire dans l'établissement des faits, notamment dans la mesure où l'autorité cantonale a retenu que l'assurance-maladie complémentaire de l'intimée faisait partie d'un portefeuille fermé. Elle reproche également à la cour cantonale d'avoir violé l' art. 156 OS en rangeant l'assurance en question dans les portefeuilles fermés.</w:t>
      </w:r>
    </w:p>
    <w:p>
      <w:r>
        <w:rPr>
          <w:b/>
        </w:rPr>
        <w:t>E. 6.2</w:t>
      </w:r>
    </w:p>
    <w:p>
      <w:r>
        <w:t>Le juge apprécie librement les preuves ( art. 85 al. 2 LSA ). L'intimée supportait le fardeau de la preuve du fait que le portefeuille d'assurance auquel elle appartenait était fermé ( art. 8 CC ). Cependant, seule la recourante disposait des renseignements et documents nécessaires pour juger si l'assurance de l'intimée faisait partie d'un portefeuille fermé. Se fondant sur le droit de procédure cantonal ( art. 24 al. 1 LPA /GE), l'autorité cantonale a invité formellement la recourante à fournir ces éléments. L'assureur n'a pas donné suite. Dans ces circonstances, il n'y avait aucun arbitraire à apprécier ce refus de collaborer en défaveur de la recourante et à limiter les exigences de preuve à la vraisemblance prépondérante. Sur le fond, la conclusion de la cour cantonale, qualifiant l'assurance complémentaire actuelle de l'intimée de portefeuille fermé, est tout à fait défendable sur le vu des faits constatés dans la décision entreprise. Il peut par conséquent être renvoyé au considérant 11 de l'arrêt attaqué (cf. art. 109 al. 3 2 ème phrase LTF par analogie; Bernard Corboz, in Commentaire de la LTF, 2009, n° 33 ad art. 109). Pour le reste, le moyen tiré d'une violation de l' art. 156 OS se fonde essentiellement sur des faits qui n'ont pas été constatés par l'autorité cantonale et sur de nouvelles pièces, ainsi que sur des faits que la recourante se réserve d'alléguer ultérieurement, une fois qu'une décision quant au caractère protégé de ces données aura été rendue. Comme déjà relevé (consid. 2.3 supra), un tel grief est irrecevable (cf. art. 99 al. 1 et art. 105 al. 1 LTF ).</w:t>
      </w:r>
    </w:p>
    <w:p>
      <w:r>
        <w:rPr>
          <w:b/>
        </w:rPr>
        <w:t>E. 7.1</w:t>
      </w:r>
    </w:p>
    <w:p>
      <w:r>
        <w:t>En dernier lieu, la recourante conteste la mise à sa charge d'un émolument pour défaut de collaboration. Elle invoque l' art. 85 al. 3 LSA , alors que l'autorité cantonale s'est fondée sur l'art. 89 H al. 1 LPA/GE, qui autorise le juge à mettre les débours et un émolument à la charge de la partie qui agit de manière téméraire ou témoigne de légèreté.</w:t>
      </w:r>
    </w:p>
    <w:p>
      <w:r>
        <w:rPr>
          <w:b/>
        </w:rPr>
        <w:t>E. 7.2</w:t>
      </w:r>
    </w:p>
    <w:p>
      <w:r>
        <w:t>Comme la recourante le relève à juste titre, la question est régie par le droit fédéral. En effet, l' art. 85 al. 3 LSA prévoit que, dans les contestations relatives aux assurances complémentaires à l'assurance-maladie sociale, les parties ne supportent en principe pas de frais de procédure, mais que le juge peut mettre tout ou partie de ces frais à la charge de la partie téméraire. Sur le fond, cette règle correspond toutefois à la disposition cantonale appliquée par l'autorité précédente. La recourante fait valoir qu'elle n'a pas à supporter de frais parce que le jugement attaqué souffre de multiples défauts et ne peut pas être maintenu. Or, comme on l'a vu, cette critique n'est pas fondée. La recourante ne fournit aucune autre argumentation. En particulier, elle n'explique pas pourquoi la mise de frais à sa charge ensuite du jugement tel que rendu par l'autorité cantonale serait contraire à l' art. 85 al. 3 LSA . Partant, le grief est irrecevable.</w:t>
      </w:r>
    </w:p>
    <w:p>
      <w:r>
        <w:rPr>
          <w:b/>
        </w:rPr>
        <w:t>E. 8</w:t>
      </w:r>
    </w:p>
    <w:p>
      <w:r>
        <w:t>Sur le vu de ce qui précède, le recours constitutionnel subsidiaire est irrecevable et le recours en matière civile doit être rejeté dans la mesure de sa recevabilité.</w:t>
      </w:r>
    </w:p>
    <w:p>
      <w:r>
        <w:rPr>
          <w:b/>
        </w:rPr>
        <w:t>E. 9</w:t>
      </w:r>
    </w:p>
    <w:p>
      <w:r>
        <w:t>La recourante, qui succombe, supportera les frais judiciaires ( art. 66 LTF ). Il n'est pas alloué de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