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4A_189/2021 vom 21. März 2023</w:t>
      </w:r>
    </w:p>
    <w:p>
      <w:r>
        <w:t>Bundesgericht, 2023-03-21, IT</w:t>
      </w:r>
    </w:p>
    <w:p>
      <w:r>
        <w:rPr>
          <w:b/>
        </w:rPr>
        <w:t xml:space="preserve">Quelle: </w:t>
      </w:r>
      <w:r>
        <w:t>https://mcp.opencaselaw.ch/entscheid/bger_4A_189_2021</w:t>
      </w:r>
    </w:p>
    <w:p>
      <w:r>
        <w:t>FR: TF 4A_189/2021 du 21 mars 2023</w:t>
      </w:r>
    </w:p>
    <w:p>
      <w:r>
        <w:t>IT: TF 4A_189/2021 del 21 marzo 2023</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 Esso si rivela pertanto in linea di principio ammissibile.</w:t>
      </w:r>
    </w:p>
    <w:p>
      <w:r>
        <w:t>Irricevibili si rivelano invece le domande di costruzione prodotte con il ricorso. Giusta l' art. 99 cpv. 1 LTF possono infatti essere addotti nuovi fatti e nuovi mezzi di prova soltanto se ne dà motivo la decisione dell'autorità inferiore e la ricorrente, a ragione, nemmeno pretende che tale requisito sia adempiuto.</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del ricorso occorre spiegare in modo conciso perché l'atto impugnato viola il diritto. Per soddisfare le esigenze di motivazione, il ricorrente deve confrontarsi con l'argomentazione della sentenza impugnata ( DTF 143 II 283 consid. 1.2.2, con rinvio).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3.1</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 L'eliminazione del vizio deve inoltre poter essere determinante per l'esito del procedimento ( art. 97 cpv. 1 LTF ).</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3.2</w:t>
      </w:r>
    </w:p>
    <w:p>
      <w:r>
        <w:t>Da quanto precede discende che il Tribunale federale non può completare la fattispecie accertata nella sentenza impugnata sulla base dell'esposizione effettuata a ruota libera nella parte del ricorso intitolata "A) IN FATTO"e concernente in primo luogo la procedura di rilascio della licenza edilizia. Tale narrazione pare inoltre avere per scopo di illustrare che la licenza edilizia non conteneva l'obbligo di locazione e che la situazione giuridica non è definitivamente risolta, circostanze che pure emergono dalla sentenza di appello. Esse non sono però, come si vedrà, determinanti per il presente giudizio.</w:t>
      </w:r>
    </w:p>
    <w:p>
      <w:r>
        <w:rPr>
          <w:b/>
        </w:rPr>
        <w:t>E. 4.1</w:t>
      </w:r>
    </w:p>
    <w:p>
      <w:r>
        <w:t>La Corte cantonale ha ritenuto pacifico che la venditrice si era obbligata a consegnare all'acquirente un appartamento di cui poter disporre liberamente e da utilizzare a scopo abitativo in via esclusiva quale residenza secondaria, senza alcun obbligo di messa a disposizione di terzi. Ha osservato che l'obbligo di utilizzo alberghiero trova fondamento nel piano regolatore e nelle relative norme di attuazione, ragione per cui un mero uso residenziale non è in linea di principio conforme a tale ordinamento; che sia il Municipio sia il Consiglio di Stato hanno confermato l'obbligo di messa a disposizione e il primo ha annunciato l'intenzione di effettuare controlli e ha emesso divieti d'uso impedendo di erigere nel complesso il proprio domicilio. Ha quindi considerato che non sussiste alcuna decisione amministrativa che nega il vincolo in questione o ne esenta taluni proprietari e ha reputato che non era possibile esigere dall'acquirente di risiedere nell'appartamento in contrasto con le indicazioni delle competenti autorità o di attendere per anni una risposta in merito alle possibilità di usufruire del medesimo. Ha pertanto riconosciuto l'esistenza di un difetto che giustifica un recesso nel senso degli art. 205 cpv. 1 e 208 CO .</w:t>
      </w:r>
    </w:p>
    <w:p>
      <w:r>
        <w:rPr>
          <w:b/>
        </w:rPr>
        <w:t>E. 4.2</w:t>
      </w:r>
    </w:p>
    <w:p>
      <w:r>
        <w:t>La ricorrente insiste sull'inesistenza di una sentenza definitiva delle autorità amministrative sull'obbligo di messa a disposizione dell'appartamento e sul fatto che il Comune aveva rilasciato la licenza edilizia sapendo che gli appartamenti del complesso avevano uno scopo residenziale, esigendo solo in seguito - con quello che definisce un voltafaccia - un diverso utilizzo. Contesta poi, nell'eventualità in cui dovesse essere accertata l'esistenza di un difetto ai sensi dell' art. 197 CO di doverne rispondere, poiché questo sarebbe sorto dopo la stipula del contratto. La Corte cantonale avrebbe inoltre pure ignorato che per il caso di una rinuncia all'acquisto, il rogito prevedeva che la venditrice avrebbe trattenuto il 25 % degli acconti versati.</w:t>
      </w:r>
    </w:p>
    <w:p>
      <w:r>
        <w:rPr>
          <w:b/>
        </w:rPr>
        <w:t>E. 4.3</w:t>
      </w:r>
    </w:p>
    <w:p>
      <w:r>
        <w:t>Giusta l' art. 197 cpv. 1 CO il venditore risponde verso il compratore tanto delle qualità promesse quanto dei difetti che, materialmente o giuridicamente, tolgono o diminuiscono notevolmente il valore della cosa o l'attitudine all'uso cui è destinata. La qualità promessa deve sussistere al più tardi al momento del trapasso dei rischi (HEINRICH HONSELL, in: Basler Kommentar, Obligationenrecht I, 7a ed. 2020, n. 11 ad art. 197 CO ; HANS GIGER, Berner Kommentar, n. 42 ad art. 197 CO ; cfr. anche DTF 60 II 436 consid. 3; sentenze 4A_435/2016 del 19 dicembre 2016 consid. 5; 4C.321/2006 del 1° maggio 2007 consid. 4.3.1). Quando sia dovuta la garanzia per i difetti della cosa, il compratore può chiedere coll'azione redibitoria la risoluzione della vendita ( art. 205 cpv. 1 CO ) e il venditore deve restituire il prezzo pagato con gli interessi e risarcire, le spese di causa, i disborsi e i danni direttamente cagionati al compratore ( art. 208 cpv. 2 CO ). La responsabilità del venditore sussiste indipendentemente da una sua colpa ( DTF 133 III 257 consid. 2.1). Le citate norme sono applicabili - per analogia - anche alla compravendita di fondi ( art. 221 CO ).</w:t>
      </w:r>
    </w:p>
    <w:p>
      <w:r>
        <w:t>In concreto giova innanzi tutto rilevare che nemmeno la ricorrente sostiene - a ragione - che il trasferimento dei rischi doveva già avvenire con la firma del contratto, atteso che in base al rogito ciò doveva unicamente succedere con la consegna dell'appartamento prevista per la fine di maggio 2016. Per questo motivo è del tutto irrilevante che il Municipio abbia sancito la messa a disposizione degli appartamenti dopo la stipula del contratto di compravendita. La ricorrente non può nemmeno essere seguita quando ritiene che il fondo venduto non sia affetto da un difetto nel senso dell' art. 197 CO . Insistendo sull'esistenza di procedure ancora pendenti innanzi al Tribunale amministrativo sull'obbligo di messa a disposizione degli appartamenti, ella stessa riconosce che la sua visione delle modalità di utilizzo del complesso è osteggiata sia dal Municipio che dal Governo cantonale. La Corte cantonale non ha pertanto violato il diritto federale, ritenendo che l'assicurazione data nel rogito all'acquirente di poter utilizzare in modo esclusivo l'appartamento non è stata soddisfatta e che non possa essere preteso dall'opponente di attendere per anni l'esito delle procedure amministrative (cfr. la DTF 98 II 191 consid. 4 pag. 197 per un caso in cui il difetto è connesso a una controversia giuridica con un terzo). Del tutto inconferente ai fini del presente giudizio è il richiamo al punto del rogito che regola il recesso della parte acquirente dietro una penale, atteso che la ricorrente nemmeno pretende che tale clausola si estenda pure ai casi di difetti dell'ente venduto.</w:t>
      </w:r>
    </w:p>
    <w:p>
      <w:r>
        <w:rPr>
          <w:b/>
        </w:rPr>
        <w:t>E. 5.1</w:t>
      </w:r>
    </w:p>
    <w:p>
      <w:r>
        <w:t>La Corte cantonale ha condannato la convenuta anche alla rifusione delle spese notarili, perché queste costituiscono un danno diretto nel senso dell' art. 208 cpv. 2 CO , e al pagamento di interessi sugli importi versati. Ciò perché la venditrice non solo aveva invocato tardivamente (unicamente nelle conclusioni e non già negli atti introduttivi) la clausola che escludeva interessi sull'acconto, ma anche perché tale disposizione contrattuale non sarebbe stata applicabile in concreto, riferendosi unicamente alle ipotesi di un recesso da parte della venditrice o del recesso degli acquirenti senza particolari motivi dietro penale o della mancata costruzione dell'edificio.</w:t>
      </w:r>
    </w:p>
    <w:p>
      <w:r>
        <w:rPr>
          <w:b/>
        </w:rPr>
        <w:t>E. 5.2</w:t>
      </w:r>
    </w:p>
    <w:p>
      <w:r>
        <w:t>La ricorrente contesta di dover versare interessi, perché un tale obbligo sarebbe stato escluso dalla prima frase del punto 6 del rogito e ritiene che il fatto che ella se ne sia prevalsa tardivamente non deve ostacolarne l'applicazione, atteso che la clausola è "chiarissima e concerne appunto gli interessi sugli acconti versati dall'acquirente". Così facendo la ricorrente non formula alcuna censura che soddisfa le esigenze di motivazione dell' art. 42 LTF diretta contro la motivazione indipendente della Corte cantonale fondata sul diritto processuale. Ciò rende di primo acchito inammissibile anche la contestazione - peraltro formulata solo in modo appellatorio - del campo di applicazione della clausola in discussione (supra consid. 2).</w:t>
      </w:r>
    </w:p>
    <w:p>
      <w:r>
        <w:t>Infondata è infine la lamentela concernente il rimborso delle spese notarili. Contrariamente a quanto affermato nel ricorso queste spese contrattuali non costituiscono un maggiore danno nel senso dell' art. 208 cpv. 3 CO , ma vanno risarcite in base all' art. 208 cpv. 2 CO (HEINRICH HONSELL, in Basler Kommentar, Obligationenrecht I, 7a ed. 2020, n. 5 ad art. 208 CO ; v. sulla nozione di danno diretto anche la DTF 133 III 257 consid. 2.5.1). Infine, il fatto che il rogito poneva queste spese a carico dell'acquirente costituisce - contrariamente a quanto ritiene la ricorrente - un presupposto e non un impedimento per la condanna della parte venditrice a risarcirle.</w:t>
      </w:r>
    </w:p>
    <w:p>
      <w:r>
        <w:rPr>
          <w:b/>
        </w:rPr>
        <w:t>E. 6</w:t>
      </w:r>
    </w:p>
    <w:p>
      <w:r>
        <w:t>Da quanto precede discende che il ricorso, nella misura in cui risulta ammissibile,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