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4A_189/2019 vom 23. Mai 2019</w:t>
      </w:r>
    </w:p>
    <w:p>
      <w:r>
        <w:t>Bundesgericht, 2019-05-23, DE</w:t>
      </w:r>
    </w:p>
    <w:p>
      <w:r>
        <w:rPr>
          <w:b/>
        </w:rPr>
        <w:t xml:space="preserve">Quelle: </w:t>
      </w:r>
      <w:r>
        <w:t>https://mcp.opencaselaw.ch/entscheid/bger_4A_189_2019</w:t>
      </w:r>
    </w:p>
    <w:p>
      <w:r>
        <w:t>FR: TF 4A_189/2019 du 23 mai 2019</w:t>
      </w:r>
    </w:p>
    <w:p>
      <w:r>
        <w:t>IT: TF 4A_189/2019 del 23 maggio 2019</w:t>
      </w:r>
    </w:p>
    <w:p>
      <w:pPr>
        <w:pStyle w:val="Heading2"/>
      </w:pPr>
      <w:r>
        <w:t>Erwägungen</w:t>
      </w:r>
    </w:p>
    <w:p>
      <w:r>
        <w:rPr>
          <w:b/>
        </w:rPr>
        <w:t>E. 1</w:t>
      </w:r>
    </w:p>
    <w:p>
      <w:r>
        <w:t>Mit Eingabe vom 5. November 2018 reichte der Beschwerdeführer ein Schlichtungsgesuch beim Friedensrichteramt Opfikon-Glattbrugg ein. Am 26. November 2018 ersuchte er am Bezirksgericht Bülach um Gewährung der unentgeltlichen Rechtspflege für das Schlichtungsverfahren. Mit Urteil vom 16. Januar 2019 wies das Bezirksgericht das Gesuch um Gewährung der unentgeltlichen Rechtspflege ab, aufgrund der Aussichtslosigkeit des Begehrens.</w:t>
      </w:r>
    </w:p>
    <w:p>
      <w:r>
        <w:t>Dagegen erhob der Beschwerdeführer Beschwerde an das Obergericht des Kantons Zürich. Dieses wies mit Urteil vom 29. März 2019 die Beschwerde ab.</w:t>
      </w:r>
    </w:p>
    <w:p>
      <w:r>
        <w:t>Gegen das Urteil des Obergerichts erhob der Beschwerdeführer mit Eingabe vom 25. April 2019 Beschwerde in Zivilsachen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Gemäss Art. 99 Abs. 1 BGG dürfen neue Tatsachen und Beweismittel nur soweit vorgebracht werden, als erst der Entscheid der Vorinstanz dazu Anlass gibt, was in der Beschwerde näher darzulegen ist ( BGE 133 III 393 E. 3). Tatsachen oder Beweismittel, die sich auf das vorinstanzliche Prozessthema beziehen, jedoch erst nach dem angefochtenen Entscheid eingetreten oder entstanden sind (sog. echte Noven), sind vor Bundesgericht unbeachtlich ( BGE 133 IV 342 E. 2.1 S. 344).</w:t>
      </w:r>
    </w:p>
    <w:p>
      <w:r>
        <w:rPr>
          <w:b/>
        </w:rPr>
        <w:t>E. 3.1</w:t>
      </w:r>
    </w:p>
    <w:p>
      <w:r>
        <w:t>Diesen Grundsatz verkennt der Beschwerdeführer, soweit er sich auf die Verfügung des Bezirksgerichts vom 9. April 2019 und damit auf tatsächliche Elemente stützt, die nach der Fällung des angefochtenen Entscheids vom 29. März 2019 entstanden sind. Diese echten Noven können im bundesgerichtlichen Verfahren nicht berücksichtigt werden.</w:t>
      </w:r>
    </w:p>
    <w:p>
      <w:r>
        <w:rPr>
          <w:b/>
        </w:rPr>
        <w:t>E. 3.2</w:t>
      </w:r>
    </w:p>
    <w:p>
      <w:r>
        <w:t>Der Beschwerdeführer kritisiert sodann die Sachverhaltsfeststellungen der Vorinstanz, wobei die diesbezüglichen Ausführungen die Begründungsanforderungen an Sachverhaltsrügen offensichtlich nicht erfüllen (Erwägung 2.2), denn er zeigt nicht auf, dass er die entsprechenden rechtsrelevanten Tatsachen und tauglichen Beweismittel bereits bei der Vorinstanz prozesskonform eingebracht hätte.</w:t>
      </w:r>
    </w:p>
    <w:p>
      <w:r>
        <w:rPr>
          <w:b/>
        </w:rPr>
        <w:t>E. 3.3</w:t>
      </w:r>
    </w:p>
    <w:p>
      <w:r>
        <w:t>Auch im Übrigen erfüllt die Eingabe des Beschwerdeführers die genannten Begründungsanforderung offensichtlich nicht. Er ruft darin zwar die Bestimmungen von Art. 11 OR , Art. 574 OR und Art. 545 Abs. 1 Ziff. 4 OR an. Er legt vor Bundesgericht aber bloss in frei gehaltenen Ausführungen seine Sicht der Dinge dar, ohne indessen auf die Erwägungen der Vorinstanz hinreichend konkret einzugehen, geschweige denn nachvollziehbar aufzuzeigen, inwiefern diese die genannten Bestimmungen verletzt haben soll.</w:t>
      </w:r>
    </w:p>
    <w:p>
      <w:r>
        <w:rPr>
          <w:b/>
        </w:rPr>
        <w:t>E. 3.4</w:t>
      </w:r>
    </w:p>
    <w:p>
      <w:r>
        <w:t>Eventualiter begehrt der Beschwerdeführer vor Bundesgericht um eine Klageänderung, um seine Interessen "noch zu retten". Er verkennt dabei, dass neue Begehren vor Bundesgericht unzulässig sind ( Art. 99 Abs. 2 BGG ). Auch auf die Klageänderung kann nicht eingetreten werden.</w:t>
      </w:r>
    </w:p>
    <w:p>
      <w:r>
        <w:rPr>
          <w:b/>
        </w:rPr>
        <w:t>E. 4</w:t>
      </w:r>
    </w:p>
    <w:p>
      <w:r>
        <w:t>Auf die Beschwerde ist somit in Anwendung von Art. 108 Abs. 1 lit. a und b BGG nicht einzutreten. Das Gesuch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