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4A_188/2025 vom 4. August 2025</w:t>
      </w:r>
    </w:p>
    <w:p>
      <w:r>
        <w:t>Bundesgericht, 2025-08-04, DE</w:t>
      </w:r>
    </w:p>
    <w:p>
      <w:r>
        <w:rPr>
          <w:b/>
        </w:rPr>
        <w:t xml:space="preserve">Quelle: </w:t>
      </w:r>
      <w:r>
        <w:t>https://mcp.opencaselaw.ch/entscheid/bger_4A_188_2025</w:t>
      </w:r>
    </w:p>
    <w:p>
      <w:r>
        <w:t>FR: TF 4A_188/2025 du 4 août 2025</w:t>
      </w:r>
    </w:p>
    <w:p>
      <w:r>
        <w:t>IT: TF 4A_188/2025 del 4 agosto 2025</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858.95 und erreicht damit die Streitwertgrenze nicht.</w:t>
      </w:r>
    </w:p>
    <w:p>
      <w:r>
        <w:rPr>
          <w:b/>
        </w:rPr>
        <w:t>E. 1.2</w:t>
      </w:r>
    </w:p>
    <w:p>
      <w:r>
        <w:t>Erreicht der Streitwert den massgebenden Betrag wie in casu nicht, ist sie dennoch zulässig, wenn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weiteren Hinweisen). Ist eine Beschwerde nur unter der Voraussetzung zulässig, dass sich eine Rechtsfrage von grundsätzlicher Bedeutung stellt, so ist in der Beschwerdeschrift auszuführen, warum diese Voraussetzung erfüllt ist ( Art. 42 Abs. 2 Satz 2 BGG ; BGE 136 II 489 E. 2.6; 133 III 439 E. 2.2.2.1, 645 E. 2.4).</w:t>
      </w:r>
    </w:p>
    <w:p>
      <w:r>
        <w:rPr>
          <w:b/>
        </w:rPr>
        <w:t>E. 1.3</w:t>
      </w:r>
    </w:p>
    <w:p>
      <w:r>
        <w:t>Die Beschwerdeführerin missachtet diese Begründungspflicht. Sie macht zwar geltend, dass sich im vorliegenden Fall "wichtige Grundsatzfragen" zur Verrechnung der abgezogenen Verrechnungssteuer mit den Steuern des gleiches Jahres stellten. Sie legt indessen nicht rechtsgenüglich dar, worin die Rechtsfrage von grundsätzlicher Bedeutung im obigen Sinn (Erwägung 1.2) läge. Dass mit ihren pauschalen Vorbringen keine Rechtsfrage von grundsätzlicher Bedeutung aufgezeigt wird, sollte der Beschwerdeführerin aus früheren Verfahren bekannt sein. Schliesslich hat sie schon gegen die Steuern 2019 mit der gleichen Argumentation vergeblich Beschwerde an das Bundesgericht erhoben und zeigte bereits damals keine Rechtsfrage von grundsätzlicher Bedeutung auf (Urteil 4D_77/2023 und 4D_78/2023 vom 2. April 2024 E. 1.3). Unter diesen Umständen ist die Beschwerde in Zivilsachen nicht zulässig, sondern es steht die subsidiäre Verfassungsbeschwerde im Sinne der Art. 113-119 BGG offen.</w:t>
      </w:r>
    </w:p>
    <w:p>
      <w:r>
        <w:rPr>
          <w:b/>
        </w:rPr>
        <w:t>E. 2.1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Soweit die Beschwerdeführerin die Verletzung von einfachem Bundesrecht rügt, insbesondere von Art. 31 Abs. 3 des Verrechnungssteuergesetzes (VstG), Art. 81 Abs. 1 SchKG und Art. 120 Abs. 1 OR , kann darauf von vornherein nicht eingetreten werden, da es sich hierbei nicht um die Verletzung verfassungsmässiger Rechte handelt (Erwägung 2.1). Das Gleiche gilt, wenn sie sich auf die Luzerner Steuerverordnung bezieht.</w:t>
      </w:r>
    </w:p>
    <w:p>
      <w:r>
        <w:rPr>
          <w:b/>
        </w:rPr>
        <w:t>E. 3.2</w:t>
      </w:r>
    </w:p>
    <w:p>
      <w:r>
        <w:t>Die Beschwerdeführerin wirft der Vorinstanz eine "klare Rechtsverweigerung" und eine "Rechtsanwendungsverweigerung" vor, da diese sich nicht mit Art. 31 Abs. 3 VStG und ihren diesbezüglichen Einwendungen befasst habe. Dieser Vorwurf ist offensichtlich unbegründet. Die Vorinstanz setzte sich im angefochtenen Entscheid sehr wohl mit der genannten kantonalen Bestimmung und der Argumentation der Beschwerdeführerin auseinander (angefochtener Entscheid E. 7.2.2 und E. 7.2.3), legte aber dar, warum der Standpunkt der Beschwerdeführerin nicht stichhaltig ist.</w:t>
      </w:r>
    </w:p>
    <w:p>
      <w:r>
        <w:rPr>
          <w:b/>
        </w:rPr>
        <w:t>E. 3.3</w:t>
      </w:r>
    </w:p>
    <w:p>
      <w:r>
        <w:t>Im Übrigen schildert die Beschwerdeführerin ausführlich ihre Sicht der Dinge, wonach das Verrechnungssteuerguthaben 2021 zwingend mit der direkten Bundessteuer des gleichen Jahres hätte verrechnet werden müssen. Sie zeigt aber nicht auf, zumindest offensichtlich nicht hinreichend (Erwägung 2.1), worin die Verletzung von verfassungsmässigen Rechten bestünde (so bereits Urteil 4D_77/2023 und 4D_78/2023 vom 2. April 2024 E. 4.1 f.).</w:t>
      </w:r>
    </w:p>
    <w:p>
      <w:r>
        <w:rPr>
          <w:b/>
        </w:rPr>
        <w:t>E. 3.4</w:t>
      </w:r>
    </w:p>
    <w:p>
      <w:r>
        <w:t>Die subsidiäre Verfassungsbeschwerde ist somit abzuweisen, soweit überhaupt darauf einzutreten ist.</w:t>
      </w:r>
    </w:p>
    <w:p>
      <w:r>
        <w:rPr>
          <w:b/>
        </w:rPr>
        <w:t>E. 4</w:t>
      </w:r>
    </w:p>
    <w:p>
      <w:r>
        <w:t>Bei diesem Ausgang des Verfahrens sind die Gerichtskosten der Beschwerdeführerin aufzuerlegen ( Art. 66 Abs. 1 BGG ). Den Beschwerdegegnern ist keine Parteientschädigung zuzusprechen ( Art. 68 Abs. 3 BGG ), zumal ihnen aus dem bundesgerichtlichen Verfahren mangels Einholung von Vernehmlassungen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