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188/2024 vom 3. Mai 2024</w:t>
      </w:r>
    </w:p>
    <w:p>
      <w:r>
        <w:t>Bundesgericht, 2024-05-03, DE</w:t>
      </w:r>
    </w:p>
    <w:p>
      <w:r>
        <w:rPr>
          <w:b/>
        </w:rPr>
        <w:t xml:space="preserve">Quelle: </w:t>
      </w:r>
      <w:r>
        <w:t>https://mcp.opencaselaw.ch/entscheid/bger_4A_188_2024</w:t>
      </w:r>
    </w:p>
    <w:p>
      <w:r>
        <w:t>FR: TF 4A 188/2024 du 3 mai 2024</w:t>
      </w:r>
    </w:p>
    <w:p>
      <w:r>
        <w:t>IT: TF 4A 188/2024 del 3 maggio 2024</w:t>
      </w:r>
    </w:p>
    <w:p>
      <w:pPr>
        <w:pStyle w:val="Heading2"/>
      </w:pPr>
      <w:r>
        <w:t>Regeste</w:t>
      </w:r>
    </w:p>
    <w:p>
      <w:r>
        <w:t>Organisationsmangel, | Register</w:t>
      </w:r>
    </w:p>
    <w:p>
      <w:pPr>
        <w:pStyle w:val="Heading2"/>
      </w:pPr>
      <w:r>
        <w:t>Erwägungen</w:t>
      </w:r>
    </w:p>
    <w:p>
      <w:r>
        <w:rPr>
          <w:b/>
        </w:rPr>
        <w:t>E. 1</w:t>
      </w:r>
    </w:p>
    <w:p>
      <w:r>
        <w:t>Gemäss den dem Handelsregisteramt Zug vorliegenden Informationen verfügte die A.________ AG (nachfolgend: Beschwerdeführerin) über kein korrektes Rechtsdomizil mehr. Trotz grosszügiger Fristerstreckung wurde dieser Organisationsmangel innerhalb der zu diesem Zweck angesetzten Frist nicht behoben. In der Folge überwies das Handelsregisteramt Zug die Angelegenheit mit Eingabe vom 2. Oktober 2023 androhungsgemäss dem Kantonsgericht Zug zur Ergreifung der erforderlichen Massnahmen. Nachdem die Beschwerdeführerin sich innert Frist nicht hatte vernehmen lassen, forderte der Einzelrichter am Kantonsgericht die Beschwerdeführerin am 10. November 2023 nochmals erfolglos auf, beim Handelsregisteramt bis spätestens am 13. Dezember 2023 den rechtmässigen Zustand der Gesellschaft wiederherzustellen. In der Folge löste der Einzelrichter die Gesellschaft mit Entscheid vom 29. Dezember 2023 androhungsgemäss auf und ordnete deren konkursamtliche Liquidation an. Eine von der Beschwerdeführerin gegen diesen Entscheid erhobene Berufung wies das Obergericht des Kantons Zug mit Urteil vom 20. Februar 2024 ab, nachdem der Beschwerdeführerin erfolglos eine Nachfrist bis zum 9. Februar 2024 angesetzt worden war, um den Nachweis der Wiederherstellung des gesetzmässigen Zustands ihrer Gesellschaft zu erbringen unter der Androhung, dass nach Ablauf dieser Frist ohne Weiteres auf Grundlage der Akten entschieden werde. Die Beschwerdeführerin erhob gegen dieses Urteil mit Eingabe vom 25. März 2024 (Postaufgabe) beim Bundesgericht Beschwerde. Auf die Einholung von Vernehmlassungen zur Beschwerde wurde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Das Bundesgericht legt seinem Urteil den Sachverhalt zugrunde, den die Vorinstanz festgestellt hat ( Art. 105 Abs. 1 BGG ).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(sog. Sachverhaltsrüge).</w:t>
      </w:r>
    </w:p>
    <w:p>
      <w:r>
        <w:rPr>
          <w:b/>
        </w:rPr>
        <w:t>E. 2.2</w:t>
      </w:r>
    </w:p>
    <w:p>
      <w:r>
        <w:t>Diesen Anforderungen an die Begründung genügt die Beschwerdeeingabe der Beschwerdeführerin offensichtlich nicht. So erhebt die Beschwerdeführerin darin keine rechtsgenügend begründeten, sachdienlichen Rügen, in denen sie unter hinreichender Auseinandersetzung mit den Erwägungen der Vorinstanz und auf der Grundlage von deren Sachverhaltsfeststellungen aufzeigen würde, welche Rechte diese mit ihrem darauf gestützten Entscheid inwiefern verletzt haben soll. Auf die Beschwerde kann somit mangels rechtsgenügender Begründung nicht eingetreten werden ( Art. 108 Abs. 1 lit. b BGG ).</w:t>
      </w:r>
    </w:p>
    <w:p>
      <w:r>
        <w:rPr>
          <w:b/>
        </w:rPr>
        <w:t>E. 3</w:t>
      </w:r>
    </w:p>
    <w:p>
      <w:r>
        <w:t>Die Beschwerdeführerin ersucht sinngemäss um eine letztmalige Fristerstreckung zur Behebung des Organisationsmangels. Das Bundesgericht ist indessen zur Gewährung einer solchen Fristerstreckung nicht zuständig. Im weiteren ist die Beschwerdeführerin darauf hinzuweisen, dass es in der Kompetenz des Obergerichts liegt, über ein allfälliges Gesuchs um Wiederherstellung der von ihm angesetzten Frist zum Nachweis der Behebung des Organisationsmangels ( Art. 148 ZPO ) zu entscheiden.</w:t>
      </w:r>
    </w:p>
    <w:p>
      <w:r>
        <w:rPr>
          <w:b/>
        </w:rPr>
        <w:t>E. 4</w:t>
      </w:r>
    </w:p>
    <w:p>
      <w:r>
        <w:t>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