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188/2023 vom 5. April 2023</w:t>
      </w:r>
    </w:p>
    <w:p>
      <w:r>
        <w:t>Bundesgericht, 2023-04-05, DE</w:t>
      </w:r>
    </w:p>
    <w:p>
      <w:r>
        <w:rPr>
          <w:b/>
        </w:rPr>
        <w:t xml:space="preserve">Quelle: </w:t>
      </w:r>
      <w:r>
        <w:t>https://mcp.opencaselaw.ch/entscheid/bger_4A_188_2023</w:t>
      </w:r>
    </w:p>
    <w:p>
      <w:r>
        <w:t>FR: TF 4A 188/2023 du 5 avril 2023</w:t>
      </w:r>
    </w:p>
    <w:p>
      <w:r>
        <w:t>IT: TF 4A 188/2023 del 5 aprile 2023</w:t>
      </w:r>
    </w:p>
    <w:p>
      <w:pPr>
        <w:pStyle w:val="Heading2"/>
      </w:pPr>
      <w:r>
        <w:t>Regeste</w:t>
      </w:r>
    </w:p>
    <w:p>
      <w:r>
        <w:t>Architekturvertrag, | Vertragsrecht</w:t>
      </w:r>
    </w:p>
    <w:p>
      <w:pPr>
        <w:pStyle w:val="Heading2"/>
      </w:pPr>
      <w:r>
        <w:t>Erwägungen</w:t>
      </w:r>
    </w:p>
    <w:p>
      <w:r>
        <w:rPr>
          <w:b/>
        </w:rPr>
        <w:t>E. 1</w:t>
      </w:r>
    </w:p>
    <w:p>
      <w:r>
        <w:t>Mit Urteil vom 8. Juli 2020 wies das Bezirksgericht eine von der Beschwerdeführerin gegen die Beschwerdegegnerin erhobene Forderungsklage ab. Mit Entscheid vom 8. Februar 2023 wies das Obergericht des Kantons Zürich eine von der Beschwerdeführerin gegen das bezirksgerichtliche Urteil vom 8. Juli 2020 erhobene Berufung ab. Mit zwei separaten Eingaben vom 27. März 2023 erklärte die Beschwerdeführerin dem Bundesgericht, den Entscheid des Obergerichts des Kantons Zürich vom 8. Februar 2023 mit Beschwerde anfechten zu wollen. Am 29. März 2023 reichte die Beschwerdeführerin dem Bundesgericht eine weitere Eingabe ein. 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Eine Beschwerde ist - abgesehen von der hier nicht gegebenen Ausnahme nach Art. 43 BGG - innert der Beschwerdefrist mit einem Antrag und vollständig begründet einzureichen ( Art. 42 Abs. 1 BGG ). Eine Ergänzung der Beschwerdebegründung nach Ablauf der Beschwerdefrist kann nicht zugelassen werden ( BGE 134 II 244 E. 2.4; 133 III 489 E. 3.3). Dem Antrag der Beschwerdeführerin um Fristverlängerung zur Ergänzung der Beschwerdebegründung kann daher nicht stattgegeben werden.</w:t>
      </w:r>
    </w:p>
    <w:p>
      <w:r>
        <w:rPr>
          <w:b/>
        </w:rPr>
        <w:t>E. 2.2</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2.4</w:t>
      </w:r>
    </w:p>
    <w:p>
      <w:r>
        <w:t>Die Beschwerdeführerin setzt sich in ihren Beschwerdeeingaben nicht hinreichend mit den Erwägungen des angefochtenen Entscheids des Obergerichts des Kantons Zürich vom 8. Februar 2023 auseinander und zeigt nicht rechtsgenügend auf, inwiefern die Vorinstanz mit ihrem Entscheid Bundesrecht verletzt hätte. Vielmehr unterbreitet sie dem Bundesgericht in frei gehaltenen Ausführungen unter Berufung auf verschiedene Beilagen ihre Sicht der Dinge, was im bundesgerichtlichen Verfahren nicht zulässig ist. Soweit sich ihre Ausführungen unmittelbar gegen den erstinstanzlichen Entscheid bzw. den Verfahrensablauf vor dem Bezirksgericht richten, ist darauf von vornherein nicht einzutreten, da es sich dabei nicht um einen letztinstanzlichen Entscheid im Sinne von Art. 75 Abs. 1 BGG handelt. Auf die Beschwerde ist somit mangels hinreichender Begründung nicht einzutreten ( Art. 108 Abs. 1 lit. b BGG ).</w:t>
      </w:r>
    </w:p>
    <w:p>
      <w:r>
        <w:rPr>
          <w:b/>
        </w:rPr>
        <w:t>E. 3</w:t>
      </w:r>
    </w:p>
    <w:p>
      <w:r>
        <w:t>Das Gesuch um unentgeltliche Rechtspflege samt Rechtsbeistand für das bundesgerichtliche Verfahren ist bereits wegen Aussichtslosigkeit der Beschwerde abzuweisen ( Art. 64 Abs. 1 BGG ), weshalb nicht geprüft werden muss, ob ein Ausnahmefall für die Gewährung der unentgeltlichen Rechtspflege an eine juristische Person in Betracht käme (dazu BGE 143 I 328 E. 3 mit Hinweisen). Die Beschwerdeführerin wird bei diesem Verfahrensausgang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