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188/2019 vom 20. Mai 2019</w:t>
      </w:r>
    </w:p>
    <w:p>
      <w:r>
        <w:t>Bundesgericht, 2019-05-20, DE</w:t>
      </w:r>
    </w:p>
    <w:p>
      <w:r>
        <w:rPr>
          <w:b/>
        </w:rPr>
        <w:t xml:space="preserve">Quelle: </w:t>
      </w:r>
      <w:r>
        <w:t>https://mcp.opencaselaw.ch/entscheid/bger_4A_188_2019</w:t>
      </w:r>
    </w:p>
    <w:p>
      <w:r>
        <w:t>FR: TF 4A 188/2019 du 20 mai 2019</w:t>
      </w:r>
    </w:p>
    <w:p>
      <w:r>
        <w:t>IT: TF 4A 188/2019 del 20 maggio 2019</w:t>
      </w:r>
    </w:p>
    <w:p>
      <w:pPr>
        <w:pStyle w:val="Heading2"/>
      </w:pPr>
      <w:r>
        <w:t>Regeste</w:t>
      </w:r>
    </w:p>
    <w:p>
      <w:r>
        <w:t>Kontoentsperrung | Obligationenrecht (allgemein)</w:t>
      </w:r>
    </w:p>
    <w:p>
      <w:pPr>
        <w:pStyle w:val="Heading2"/>
      </w:pPr>
      <w:r>
        <w:t>Erwägungen</w:t>
      </w:r>
    </w:p>
    <w:p>
      <w:r>
        <w:rPr>
          <w:b/>
        </w:rPr>
        <w:t>E. 1</w:t>
      </w:r>
    </w:p>
    <w:p>
      <w:r>
        <w:t>Am 11. Januar 2019 schlossen die Parteien eine umfassende Vereinbarung betreffend Erlös aus dem Verkauf der Liegenschaften an der Strasse U.________ und am Weg V.________ in Biel ab. Gemäss Ziffer 15 dieser Vereinbarung sollte der dem Beschwerdeführer zustehende Anteil am Verkaufserlös solange auf dem gemeinsamen Konto der Parteien verbleiben, bis Gerichtspräsidentin Gutmann eine Auszahlung bewilligt. Gestützt darauf schritt das Regionalgericht Berner Jura-Seeland zur Abscheibung der noch hängigen Zivilverfahren. Mit einem Begehren um "Entsperrung seines blockierten Kontokorrentes" gelangte der Beschwerdeführer am 1. März 2019 an das Obergericht des Kantons Bern. Mit Entscheid vom 19. März 2019 trat das Obergericht auf die Beschwerde nicht ein, da es an "grundlegenden Anforderungen an Form und Inhalt" der Beschwerde fehlte. Dagegen erhob der Beschwerdeführer mit Eingabe vom 19. April 2019 Beschwerde in Zivilsachen an das Bundesgericht. Auf die Einholung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des Beschwerdeführers erfüllt diese Begründungsanforderungen offensichtlich nicht. Er legt vor Bundesgericht bloss in frei gehaltenen Ausführungen seine Sicht der Dinge dar, ohne indessen auf die Erwägungen der Vorinstanz hinreichend konkret einzugehen, geschweige denn nachvollziehbar aufzuzeigen, inwiefern diese seine Rechte verletzt haben soll.</w:t>
      </w:r>
    </w:p>
    <w:p>
      <w:r>
        <w:rPr>
          <w:b/>
        </w:rPr>
        <w:t>E. 4</w:t>
      </w:r>
    </w:p>
    <w:p>
      <w:r>
        <w:t>Auf die Beschwerde ist somit mangels hinreichender Begründung nicht einzutreten ( Art. 108 Abs. 1 lit. b BGG ). Das Gesuch um Gewährung der unentgeltlichen Rechtspflege für das bundesgerichtliche Verfahren ist abzuweisen, weil die Beschwerde als von vornherein aussichtslos erscheint ( Art. 64 Abs. 1 BGG ), wobei darüber unter den gegebenen Umständen nicht vorgängig separat entschieden werden musste (vgl. Urteil 4A_20/2011 vom 11. April 2011 E. 7.2.2). 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