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4A_188/2010 vom 8. Juni 2010</w:t>
      </w:r>
    </w:p>
    <w:p>
      <w:r>
        <w:t>Bundesgericht, 2010-06-08, DE</w:t>
      </w:r>
    </w:p>
    <w:p>
      <w:r>
        <w:rPr>
          <w:b/>
        </w:rPr>
        <w:t xml:space="preserve">Quelle: </w:t>
      </w:r>
      <w:r>
        <w:t>https://mcp.opencaselaw.ch/entscheid/bger_4A_188_2010</w:t>
      </w:r>
    </w:p>
    <w:p>
      <w:r>
        <w:t>FR: TF 4A_188/2010 du 8 juin 2010</w:t>
      </w:r>
    </w:p>
    <w:p>
      <w:r>
        <w:t>IT: TF 4A_188/2010 del 8 giugno 2010</w:t>
      </w:r>
    </w:p>
    <w:p>
      <w:pPr>
        <w:pStyle w:val="Heading2"/>
      </w:pPr>
      <w:r>
        <w:t>Erwägungen</w:t>
      </w:r>
    </w:p>
    <w:p>
      <w:r>
        <w:rPr>
          <w:b/>
        </w:rPr>
        <w:t>E. 1.1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1.2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393 E. 7.1).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4A_526/2008 vom 21. Januar 2009 E. 3.2). Auf eine Kritik an den tatsächlichen Feststellungen der Vorinstanz, die diesen Anforderungen nicht genügt, ist nicht einzutreten ( BGE 133 II 249 E. 1.4.3).</w:t>
      </w:r>
    </w:p>
    <w:p>
      <w:r>
        <w:rPr>
          <w:b/>
        </w:rPr>
        <w:t>E. 1.3</w:t>
      </w:r>
    </w:p>
    <w:p>
      <w:r>
        <w:t>Zu beachten ist zudem,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2</w:t>
      </w:r>
    </w:p>
    <w:p>
      <w:r>
        <w:t>Der Beschwerdeführer gründete seinen Schadenersatzanspruch zum einen auf eine Haftung aus culpa in contrahendo. Dazu stellte die Vorinstanz fest, dass der Beschwerdeführer den Beweis dafür, dass er mit der Beschwerdegegnerin in Vertragsverhandlungen zwecks Eröffnung eines Kontos getreten sei, nicht erbracht habe. Damit entfalle eine Haftungsgrundlage der culpa in contrahendo.</w:t>
      </w:r>
    </w:p>
    <w:p>
      <w:r>
        <w:t>Dagegen bringt der Beschwerdeführer keine sachdienlichen Einwendungen vor. Auch legt er nicht dar, dass die Vorinstanz ihren Schluss aufgrund einer unhaltbaren Beweiswürdigung gezogen hätte. Für das Bundesgericht besteht daher kein Anlass, in das Urteil der Vorinstanz einzugreifen.</w:t>
      </w:r>
    </w:p>
    <w:p>
      <w:r>
        <w:rPr>
          <w:b/>
        </w:rPr>
        <w:t>E. 3</w:t>
      </w:r>
    </w:p>
    <w:p>
      <w:r>
        <w:t>Die Vorinstanz verneinte auch eine Haftung aus unerlaubter Handlung. Sie führte dazu aus, die erste Zahlung der SUVA von Fr. 72'312.-- sei von der Beschwerdegegnerin an die SUVA rückvergütet worden mit dem Hinweis "Kontonummer nicht identisch" bzw. "Konto und Inhaber nicht identisch". Die Beschwerdegegnerin habe demnach geprüft, ob die vom Beschwerdeführer angegebene Kontonummer auf ihn lautete und habe die Gutschrift verweigert, als sie festgestellt habe, dass diese Übereinstimmung nicht gegeben gewesen sei. Die Gutschrift der zweiten Überweisung stütze die Beschwerdegegnerin auf eine per 7. November 2001 bei ihr eingegangene Vollmacht von Z.________ zugunsten des Beschwerdeführers. Die Situation habe sich demnach im Zeitpunkt der zweiten Überweisung vom 9. November 2001 dahingehend verändert, dass Z.________ dem Beschwerdeführer eine Vollmacht über das fragliche Konto eingeräumt habe. Selbst wenn diese Vollmacht die Buchung des dem Beschwerdeführer zustehenden Betrags auf das Konto von Z.________ nicht zu legitimieren vermöchte, was zur Folge hätte, dass die Beschwerdegegnerin sich beim Beschwerdeführer über die Richtigkeit der Buchung hätte vergewissern müssen, entfiele eine Haftung bereits mangels natürlichen Kausalzusammenhangs zwischen der fehlenden Rückfrage beim Beschwerdeführer und dem Schaden. Denn es stehe ausser Zweifel, dass der Beschwerdeführer gewollt und mit seiner damaligen Ehefrau dahingehend zusammengewirkt habe, dass der Betrag von Fr. 72'312.-- auf das Konto von Z.________ ausbezahlt werde. Auch wenn die Beschwerdegegnerin die entsprechenden Mitteilungen gemacht hätte, hätte der Beschwerdeführer die Gutschrift des Geldes auf das Konto von Z.________ verlangt bzw. an seiner dementsprechenden Anweisung festgehalten.</w:t>
      </w:r>
    </w:p>
    <w:p>
      <w:r>
        <w:t>Der Feststellung des fehlenden natürlichen Kausalzusammenhangs, die im Bereich des Tatsächlichen anzusiedeln ist ( BGE 133 III 462 E. 4.4.2 S. 470), könnte der Beschwerdeführer nur mit einer rechtsgenüglich begründeten Willkürrüge entgegentreten. Was er aber vorträgt, erschöpft sich in blosser appellatorischer Kritik. Er unterbreitet dem Bundesgericht die eigene Sicht der Dinge unter freier Ergänzung des vorinstanzlich festgestellten Sachverhalts, ohne indessen rechtsgenüglich aufzuzeigen, inwiefern die Unterlassung von Feststellungen offensichtlich unrichtig wäre. Er missachtet damit die gesetzlichen Begründungsanforderungen (Erwägung 1). Namentlich genügt es nicht, wenn er einfach behauptet, es hätten zum Zeitpunkt der zweiten Überweisung durch die SUVA keinerlei Hinweise dafür vorgelegen, dass der Beschwerdeführer gewollt habe, dass das Geld auf das Konto von Z.________ ausbezahlt werde, und der Vorinstanz einen Denkfehler vorwirft, zumal es keinen Lebenserfahrungssatz gebe, dass getrennt lebende Eheleute einvernehmlich zusammenwirkten.</w:t>
      </w:r>
    </w:p>
    <w:p>
      <w:r>
        <w:t>Die Vorinstanz stützte ihre Annahme eines entsprechenden Willens des Beschwerdeführers nicht auf einen allgemeinen Erfahrungssatz. Vielmehr nannte sie mehrere konkrete Hinweise für einen entsprechenden Willen des Beschwerdeführers und begründete ihre diesbezügliche Annahme eingehend. Damit setzt sich der Beschwerdeführer nicht rechtsgenügend auseinander und zeigt nicht auf, inwiefern die Annahme der Vorinstanz geradezu willkürlich wäre.</w:t>
      </w:r>
    </w:p>
    <w:p>
      <w:r>
        <w:rPr>
          <w:b/>
        </w:rPr>
        <w:t>E. 4</w:t>
      </w:r>
    </w:p>
    <w:p>
      <w:r>
        <w:t>Der Beschwerdeführer hatte A.________ von der SUVA als Zeugen angerufen zum Beweis dafür, "dass die SUVA Luzern seitens der Beklagten in dem Irrtum belassen wurde, das streitige Konto laute auf den Namen des Klägers, ansonsten die SUVA nicht gezahlt hätte (...)". Die Vorinstanz lehnte die Befragung von A.________ ab mit der Begründung, dass davon auszugehen sei, dass der Beschwerdeführer die Auszahlung auf das Konto von Z.________ gewollt habe. Eine Rückfrage der Beschwerdegegnerin bei der SUVA oder beim Beschwerdeführer hätte daher am Ergebnis, d.h. an der weisungsgemässen Auszahlung des Geldes auf das Konto von Z.________, nichts geändert, da der Beschwerdeführer die von ihm gewollte Auszahlung auf dieses Konto zweifelsohne bestätigt hätte.</w:t>
      </w:r>
    </w:p>
    <w:p>
      <w:r>
        <w:t>Der Beschwerdeführer rügt den Verzicht auf die Anhörung von A.________ als rechtsfehlerhaft.</w:t>
      </w:r>
    </w:p>
    <w:p>
      <w:r>
        <w:t>Art. 8 ZGB gibt der beweispflichtigen Partei einen bundesrechtlichen Anspruch darauf, für rechtserhebliche Vorbringen zum Beweis zugelassen zu werden ( BGE 132 III 222 E. 2.3 S. 226; 545 E. 3.3.2 S. 548; 130 III 591 E. 5.4 S. 601), wenn ihr Beweisantrag nach Form und Inhalt den Vorschriften des kantonalen Rechts entspricht ( BGE 129 III 18 E. 2.6 S. 24 f.; 114 II 289 E. 2a S. 290, je mit Hinweisen). Der Beweisführungsanspruch schliesst aber die vorweggenommene Beweiswürdigung nicht aus, verbietet dem Gericht also nicht, einem beantragten Beweismittel die Erheblichkeit oder Tauglichkeit abzusprechen ( BGE 129 III 18 E. 2.6; 126 III 315 E. 4a, je mit Hinweisen). Ob die Beschränkung des Beweisverfahrens gegen verfassungsmässige Rechte verstösst, sei es durch Willkür in der Beweiswürdigung ( Art. 9 BV ; vgl. dazu BGE 134 I 140 E. 5.3 S. 148 ; 131 I 153 E. 3 S. 157; 130 II 425 E. 2.1 S. 429).), sei es durch Verweigerung des rechtlichen Gehörs ( Art. 29 Abs. 2 BV ), weil einem Beweismittel von vornherein jede Erheblichkeit oder Tauglichkeit abgesprochen wird, ohne dass dafür sachliche Gründe angegeben werden können (vgl. BGE 114 II 289 E. 2a S. 291), ist nur zu prüfen, soweit die Rechtsschrift diesbezüglich eine hinreichend begründete Rüge enthält ( Art. 106 Abs. 2 BGG ).</w:t>
      </w:r>
    </w:p>
    <w:p>
      <w:r>
        <w:t>Eine solche Rüge ist den Ausführungen des Beschwerdeführers kaum zu entnehmen. Da sich die Annahme der Vorinstanz, der Beschwerdeführer habe die Auszahlung des Geldes auf das von ihm angegebene Konto von Z.________ gewollt, mangels rechtsgenüglicher Anfechtung gehalten hat (Erwägung 3), trägt auch die Begründung für die Ablehnung der Zeugenbefragung, mithin, dass diese nicht entscheiderheblich wäre, weil selbst eine Rückfrage der Beschwerdegegnerin bei der SUVA oder dem Beschwerdeführer nichts an der weisungsgemässen Überweisung des Geldes auf das Konto von Z.________ geändert hätte.</w:t>
      </w:r>
    </w:p>
    <w:p>
      <w:r>
        <w:rPr>
          <w:b/>
        </w:rPr>
        <w:t>E. 5</w:t>
      </w:r>
    </w:p>
    <w:p>
      <w:r>
        <w:t>Auf die Beschwerde kann mangels rechtsgenügender Begründung grösstenteils nicht eingetreten werden. Im Übrigen ist sie abzuweisen. Bei diesem Ausgang des Verfahrens wird der Beschwerdeführer kostenpflichtig ( Art. 66 Abs. 1 BGG ). Da sich die Beschwerdegegnerin nicht vernehmen liess und ihr im bundesgerichtlichen Verfahren kein Aufwand erwachsen ist, ist keine Parteientschädigung zu 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