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4A_187/2020 vom 23. Februar 2021</w:t>
      </w:r>
    </w:p>
    <w:p>
      <w:r>
        <w:t>Bundesgericht, 2021-02-23, FR</w:t>
      </w:r>
    </w:p>
    <w:p>
      <w:r>
        <w:rPr>
          <w:b/>
        </w:rPr>
        <w:t xml:space="preserve">Quelle: </w:t>
      </w:r>
      <w:r>
        <w:t>https://mcp.opencaselaw.ch/entscheid/bger_4A_187_2020</w:t>
      </w:r>
    </w:p>
    <w:p>
      <w:r>
        <w:t>FR: TF 4A_187/2020 du 23 février 2021</w:t>
      </w:r>
    </w:p>
    <w:p>
      <w:r>
        <w:t>IT: TF 4A_187/2020 del 23 febbraio 2021</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le Tribunal fédéral utilise la langue officielle choisie par les parties. Devant le Tribunal arbitral, celles-ci se sont servies de l'anglais et de l'espagnol, tandis que, dans le mémoire qu'il a adressé au Tribunal fédéral, le recourant a employé le français, respectant ainsi l' art. 42 al. 1 LTF en liaison avec l' art. 70 al. 1 Cst. ( ATF 142 III 521 consid. 1).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w:t>
      </w:r>
    </w:p>
    <w:p>
      <w:r>
        <w:t>Le siège de l'arbitrage se trouve à Genève. Aucune des parties n'avait son siège ou son domicile en Suisse au moment déterminant. Les dispositions du chapitre 12 de la LDIP sont dès lors applicables ( art. 176 al. 1 LDIP ).</w:t>
      </w:r>
    </w:p>
    <w:p>
      <w:r>
        <w:rPr>
          <w:b/>
        </w:rPr>
        <w:t>E. 3.1</w:t>
      </w:r>
    </w:p>
    <w:p>
      <w:r>
        <w:t>Le recours en matière d'arbitrage international ne peut être formé que pour l'un des motifs énumérés de manière exhaustive à l' art. 190 al. 2 LDIP ( art. 77 al. 1 let. a LTF ).</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4A_34/2016 du 25 avril 2017 consid. 2.2).</w:t>
      </w:r>
    </w:p>
    <w:p>
      <w:r>
        <w:rPr>
          <w:b/>
        </w:rPr>
        <w:t>E. 3.2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de l'arbitre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4A_322/2015 du 27 juin 2016 consid. 3 et les précédents cités).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w:t>
      </w:r>
    </w:p>
    <w:p>
      <w:r>
        <w:rPr>
          <w:b/>
        </w:rPr>
        <w:t>E. 4.1</w:t>
      </w:r>
    </w:p>
    <w:p>
      <w:r>
        <w:t>Le recours en matière civile visé par l' art. 77 al. 1 let. a LTF en liaison avec les art. 190 à 192 LDIP n'est recevable qu'à l'encontre d'une sentence. L'acte attaquable peut être une sentence finale, qui met un terme à l'instance arbitrale pour un motif de fond ou de procédure, une sentence partielle, qui porte sur une partie quantitativement limitée d'une prétention litigieuse ou sur l'une des diverses prétentions en cause ou encore qui met fin à la procédure à l'égard d'une partie des consorts ( ATF 143 III 462 consid. 2.1; arrêt 4A_222/2015 du 28 janvier 2016 consid. 3.1.1), voire une sentence préjudicielle ou incidente, qui règle une ou plusieurs questions préalables de fond ou de procédure (sur ces notions, cf. l' ATF 130 III 755 consid. 1.2.1 p. 757). En revanche, une simple ordonnance de procédure pouvant être modifiée ou rapportée en cours d'instance n'est pas susceptible de recours ( ATF 143 III 462 consid. 2.1; 136 III 200 consid. 2.3.1 p. 203; 136 III 597 consid. 4.2; arrêt 4A_596/2012 du 15 avril 2013 consid. 3.3).</w:t>
      </w:r>
    </w:p>
    <w:p>
      <w:r>
        <w:t>Pour juger de la recevabilité du recours, ce qui est déterminant n'est pas la dénomination du prononcé entrepris, mais le contenu de celui-ci ( ATF 143 III 462 consid. 2.1; 142 III 284 consid. 1.1.1; arrêt 4A_222/2015, précité, consid. 3.1.1).</w:t>
      </w:r>
    </w:p>
    <w:p>
      <w:r>
        <w:rPr>
          <w:b/>
        </w:rPr>
        <w:t>E. 4.2</w:t>
      </w:r>
    </w:p>
    <w:p>
      <w:r>
        <w:t>L' art. 186 al. 3 LDIP prévoit qu'en général, le tribunal arbitral statue sur sa compétence par une décision incidente. Cette disposition exprime certes une règle, mais celle-ci ne présente aucun caractère impératif et absolu, sa violation étant d'ailleurs dépourvue de sanction (arrêt 4A_222/2015, précité, consid. 3.1.2 et les références). Le tribunal arbitral y dérogera s'il estime que l'exception d'incompétence est trop liée aux faits de la cause pour être jugée séparément du fond ( ATF 143 III 462 consid. 2.2; 121 III 495 consid. 6d p. 503).</w:t>
      </w:r>
    </w:p>
    <w:p>
      <w:r>
        <w:t>Si le tribunal arbitral, examinant la question de la compétence à titre préalable, se déclare incompétent, mettant ainsi un terme à la procédure, il prononce une sentence finale ( ATF 143 III 462 consid. 3.1).</w:t>
      </w:r>
    </w:p>
    <w:p>
      <w:r>
        <w:t>Lorsqu'il écarte une exception d'incompétence, par une sentence séparée, il rend une décision incidente ( art. 186 al. 3 LDIP ), quel que soit le nom qu'il lui donne ( ATF 143 III 462 consid. 2.2; arrêt 4A_414/2012 du 11 décembre 2012 consid. 1.1). En vertu de l' art. 190 al. 3 LDIP , cette décision, que les parties doivent entreprendre immédiatement ( ATF 130 III 66 consid. 4.3), ne peut être attaquée devant le Tribunal fédéral que pour les motifs tirés de la composition irrégulière ( art. 190 al. 2 let. a LDIP ) ou de l'incompétence ( art. 190 al. 2 let. b LDIP ) du tribunal arbitral. Les griefs visés à l' art. 190 al. 2 let . c à e LDIP peuvent aussi être soulevés contre les décisions incidentes au sens de l' art. 190 al. 3 LDIP , mais uniquement dans la mesure où ils se limitent strictement aux points concernant directement la composition ou la compétence du tribunal arbitral ( ATF 143 III 462 consid. 2.2; 140 III 477 consid. 3.1; 140 III 520 consid. 2.2.3).</w:t>
      </w:r>
    </w:p>
    <w:p>
      <w:r>
        <w:rPr>
          <w:b/>
        </w:rPr>
        <w:t>E. 5.1</w:t>
      </w:r>
    </w:p>
    <w:p>
      <w:r>
        <w:t>Dans un premier pan de son argumentation, le recourant s'en prend à l'OP 19 rendue le 15 octobre 2018. Selon lui, le Tribunal arbitral aurait, à cette occasion, violé son droit d'être entendu ( art. 190 al. 2 let . d LDIP) en refusant d'examiner sa "nouvelle exception d'arbitrage" et en rejetant sa demande de production des documents Achmea visant à étayer ladite exception. Le Tribunal arbitral aurait en outre appliqué de manière erronée le principe de l'autorité de la chose jugée, en s'estimant à tort lié par la sentence sur compétence qu'il avait rendue le 13 octobre 2014. Partant, il aurait violé l'ordre public procédural ( art. 190 al. 2 let . e LDIP).</w:t>
      </w:r>
    </w:p>
    <w:p>
      <w:r>
        <w:rPr>
          <w:b/>
        </w:rPr>
        <w:t>E. 5.2</w:t>
      </w:r>
    </w:p>
    <w:p>
      <w:r>
        <w:t>En l'espèce, le Tribunal arbitral, avant de statuer sur le fond, a rendu deux décisions en rapport avec la question de sa compétence, à savoir la sentence préliminaire du 13 octobre 2014 et l'OP 19. Le recourant n'a attaqué directement ni l'une ni l'autre de ces décisions.</w:t>
      </w:r>
    </w:p>
    <w:p>
      <w:r>
        <w:rPr>
          <w:b/>
        </w:rPr>
        <w:t>E. 5.2.1</w:t>
      </w:r>
    </w:p>
    <w:p>
      <w:r>
        <w:t>Dans la sentence préliminaire, les trois arbitres ont écarté les cinq exceptions d'incompétence qu'avait soulevées le recourant, y compris l'exception intracommunautaire. Faute d'avoir été entreprise directement par le recourant, cette décision incidente sur compétence, au sens des art. 186 al. 3 et 190 al. 3 LDIP, ne peut plus être remise en cause à ce stade.</w:t>
      </w:r>
    </w:p>
    <w:p>
      <w:r>
        <w:rPr>
          <w:b/>
        </w:rPr>
        <w:t>E. 5.2.2</w:t>
      </w:r>
    </w:p>
    <w:p>
      <w:r>
        <w:t>Ultérieurement, le recourant a soulevé une exception d'incompétence, fondée selon lui sur des faits nouveaux, c'est-à-dire les documents Achmea. Après avoir recueilli l'avis des parties sur ce point, le Tribunal arbitral a rendu l'OP 19 par laquelle il a écarté la prétendue nouvelle exception de même que les conclusions procédurales y afférentes, telles que l'autorisation de produire les documents Achmea et l'ouverture d'une instruction relative à cette nouvelle exception. Il convient dès lors de déterminer la nature de l'OP 19 et d'en tirer les conséquences qui s'imposent quant à la recevabilité des griefs invoqués par le recourant.</w:t>
      </w:r>
    </w:p>
    <w:p>
      <w:r>
        <w:t>Pour qualifier ladite décision, il y a lieu de faire abstraction de sa dénomination (ordonnance de procédure). Quant à son contenu, l'OP 19 n'a rien à voir avec une simple ordonnance de procédure susceptible d'être modifiée ou rapportée en cours d'instance. En effet, dans cette décision incidente, le Tribunal arbitral a refusé de revenir sur la question de sa propre compétence et d'ordonner une instruction complémentaire sur ce point, car il a considéré, à juste titre, que le recourant tentait de faire réexaminer la même exception intracommunautaire déjà écartée dans la sentence sur compétence du 13 octobre 2014. L'OP 19 est ainsi une décision qui a trait de toute évidence à la compétence et dont le Tribunal arbitral ne laisse nullement entendre qu'elle revêtirait un caractère provisoire. Semblable décision, soit le refus de réexaminer une exception d'incompétence déjà écartée, doit être considérée comme une décision incidente sur compétence au sens de l' art. 186 al. 3 LDIP ayant pour but de confirmer la sentence préliminaire sur compétence.</w:t>
      </w:r>
    </w:p>
    <w:p>
      <w:r>
        <w:t>Le recourant aurait dès lors pu et dû attaquer l'OP 19 dans les 30 jours. Si l'on reprend l'argumentation qu'il développe dans son recours, il aurait pu alors faire valoir que le Tribunal arbitral avait refusé à tort d'entrer en matière sur sa nouvelle exception d'arbitrage, violant ainsi l' art. 190 al. 2 let. b LDIP . Quant à l'origine de cette violation, il aurait pu reprocher aux arbitres d'avoir non seulement refusé de prendre en considération les pièces produites à l'appui de ladite exception, soit les documents Achmea, mais aussi d'avoir méconnu le principe de l'autorité de la chose jugée en s'estimant lié par la sentence préliminaire. Les griefs du recourant, tirés de la violation des art. 190 al. 2 let . d et e LDIP, portent en effet sur des points intrinsèquement liés à la compétence du Tribunal arbitral. Par conséquent, le recourant aurait pu et dû les faire valoir immédiatement en attaquant directement l'OP 19. Ne l'ayant pas fait, il est aujourd'hui forclos à invoquer l'un ou l'autre de ces griefs.</w:t>
      </w:r>
    </w:p>
    <w:p>
      <w:r>
        <w:rPr>
          <w:b/>
        </w:rPr>
        <w:t>E. 6</w:t>
      </w:r>
    </w:p>
    <w:p>
      <w:r>
        <w:t>Dans un second pan de son argumentation, le recourant reproche aux arbitres d'avoir rendu une sentence finale qui porterait atteinte à son droit d'être entendu ( art. 190 al. 2 let . d LDIP) et serait contraire à l'ordre public procédural ( art. 190 al. 2 let . e LDIP).</w:t>
      </w:r>
    </w:p>
    <w:p>
      <w:r>
        <w:rPr>
          <w:b/>
        </w:rPr>
        <w:t>E. 6.1</w:t>
      </w:r>
    </w:p>
    <w:p>
      <w:r>
        <w:t>Dans sa sentence finale, le Tribunal arbitral a rejeté une nouvelle requête du recourant tendant au réexamen d'office de sa compétence eu égard à la Déclaration des 22. Il l'a fait pour les mêmes motifs que ceux qui l'ont conduit à écarter la nouvelle exception d'incompétence dans l'OP 19. A cet égard, les deux sentences sont de même nature et ne se distinguent que par leur caractère incident ou final. En ce qui concerne le rejet de ladite requête, la sentence finale aurait pu faire l'objet du grief d'incompétence du Tribunal arbitral ( art. 190 al. 2 let. b LDIP ). Or, le recourant ne formule pas pareil grief dans son recours. Dans sa réplique, il fait certes valoir, pour la première fois, un moyen ayant trait à l'arbitrabilité subjective. Pareille tentative de soulever le grief d'incompétence dans le cadre de la réplique est d'emblée vouée à l'échec. Le recours est dès lors irrecevable dans la mesure où il porte sur des questions relevant directement de la compétence du Tribunal arbitral.</w:t>
      </w:r>
    </w:p>
    <w:p>
      <w:r>
        <w:t>On peut se demander si le recourant, en tant qu'il s'en prend au refus du Tribunal arbitral de revenir dans la sentence finale sur sa sentence sur compétence du 13 octobre 2014, peut invoquer les griefs de violation du droit d'être entendu et de l'ordre public procédural, alors même qu'il n'a pas soulevé le grief tiré de l'incompétence des arbitres. Cela paraît très douteux car, ce faisant, l'intéressé ne s'en prend qu'à la procédure en rapport avec le rejet de sa requête de réexamen de la compétence du Tribunal arbitral, respectivement aux motifs qui étayent ce rejet, sans remettre en cause la confirmation implicite par les arbitres de leur compétence. Quoi qu'il en soit, les deux griefs, à les supposer recevables, doivent de toute manière être rejetés.</w:t>
      </w:r>
    </w:p>
    <w:p>
      <w:r>
        <w:rPr>
          <w:b/>
        </w:rPr>
        <w:t>E. 6.2.1</w:t>
      </w:r>
    </w:p>
    <w:p>
      <w:r>
        <w:t>Le recourant prétend, à l'appui du grief tiré de la violation de son droit d'être entendu, que la sentence attaquée consacrerait un déni de justice car le Tribunal arbitral aurait refusé, par une application erronée du principe de l'autorité de la chose jugée, d'examiner la nouvelle exception d'arbitrage qu'il avait soulevée.</w:t>
      </w:r>
    </w:p>
    <w:p>
      <w:r>
        <w:rPr>
          <w:b/>
        </w:rPr>
        <w:t>E. 6.2.2</w:t>
      </w:r>
    </w:p>
    <w:p>
      <w:r>
        <w:t>Semblable moyen tombe manifestement à faux. En l'occurrence, le recourant, en date du 7 mars 2019, a demandé au Tribunal arbitral de reconsidérer d'office sa compétence. Après avoir ordonné un nouvel échange d'écritures sur cette question, les arbitres ont rejeté cette requête et en ont exposé les motifs dans la sentence attaquée. Le Tribunal arbitral a dès lors statué sur la demande de réexamen de sa compétence qui lui avait été soumise. Dans ces conditions, on ne saurait reprocher aux arbitres d'avoir violé le droit d'être entendu du recourant ou de s'être rendus coupables de déni de justice.</w:t>
      </w:r>
    </w:p>
    <w:p>
      <w:r>
        <w:rPr>
          <w:b/>
        </w:rPr>
        <w:t>E. 6.3.1</w:t>
      </w:r>
    </w:p>
    <w:p>
      <w:r>
        <w:t>Le recourant soutient que le Tribunal arbitral a violé l'ordre public procédural en appliquant de façon erronée le principe de l'autorité de la chose jugée. Les arbitres auraient en effet considéré à tort que l'exception d'incompétence soulevée en dernier lieu par le recourant ne constituait pas un nouveau motif d'incompétence mais une tentative d'obtenir une nouvelle décision sur l'objection de même nature déjà examinée dans le cadre de la sentence sur compétence du 13 octobre 2014. En qualifiant à tort d'argument juridique, et non de fait, la Déclaration des 22 produite par le recourant, le Tribunal arbitral se serait estimé indûment lié par la sentence sur compétence et aurait ainsi refusé de prendre en considération ce nouvel élément de fait. Les arbitres auraient enfin considéré à tort que le moment déterminant pour apprécier leur compétence était celui de la date d'introduction de l'arbitrage et non celui du prononcé de la sentence finale.</w:t>
      </w:r>
    </w:p>
    <w:p>
      <w:r>
        <w:rPr>
          <w:b/>
        </w:rPr>
        <w:t>E. 6.3.2</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 Cette garantie est subsidiaire: elle ne peut être invoquée que si aucun des moyens prévus à l'art. 190 al. 2 let. a-d LDIP n'entre en ligne de compte. Il s'agit d'une norme de précaution pour les vices de procédure auxquels le législateur n'aurait pas songé en adoptant les autres lettres de l' art. 190 al. 2 LDIP ( ATF 138 III 270 consid. 2.3).</w:t>
      </w:r>
    </w:p>
    <w:p>
      <w:r>
        <w:t>Un tribunal arbitral viole l'ordre public procédural s'il statue sans tenir compte de l'autorité de la chose jugée d'une décision antérieure ou s'il s'écarte, dans sa sentence finale, de l'opinion qu'il a émise dans une sentence préjudicielle tranchant une question préalable de fond ( ATF 136 III 345 consid. 2.1 p. 348; 128 III 191 consid. 4a p. 194 et les auteurs cités). Les sentences finales sont revêtues de l'autorité matérielle de la chose jugée. Quant aux sentences préjudicielles ou incidentes, qui règlent des questions préalables de fond ou de procédure, elles ne jouissent pas de l'autorité de la chose jugée; il n'en demeure pas moins que, contrairement aux simples ordonnances ou directives de procédure qui peuvent être modifiées ou rapportées en cours d'instance, de telles sentences lient le tribunal arbitral dont elles émanent ( ATF 128 III 191 consid. 4a; 122 III 492 consid. 1b/bb et les références).</w:t>
      </w:r>
    </w:p>
    <w:p>
      <w:r>
        <w:rPr>
          <w:b/>
        </w:rPr>
        <w:t>E. 6.3.3</w:t>
      </w:r>
    </w:p>
    <w:p>
      <w:r>
        <w:t>Considéré à la lumière des principes qui viennent d'être rappelés, le grief examiné doit être rejeté.</w:t>
      </w:r>
    </w:p>
    <w:p>
      <w:r>
        <w:t>Force est de souligner d'emblée que les explications données par le recourant dans ses écritures manquent singulièrement de clarté et revêtent de surcroît un caractère appellatoire marqué. Quoi qu'il en soit, l'argumentation présentée par le recourant ne permet nullement de démontrer que les arbitres auraient statué sans tenir compte d'une décision antérieure ou se seraient écartés, dans leur sentence finale, d'une précédente sentence préjudicielle, ce qui seul importe ici au moment d'établir s'il existe une éventuelle contrariété avec l'ordre public procédural. Sous couvert d'une prétendue violation du principe de l'autorité de la chose jugée, le recourant se contente en réalité de critiquer les motifs qui sous-tendent la décision du Tribunal arbitral de ne pas reconsidérer sa compétence, sans pourtant remettre en cause le principe même de la compétence du Tribunal arbitral, puisqu'il ne soulève à aucun moment le grief d'incompétence. En l'espèce, les arbitres ont considéré qu'ils étaient liés par la sentence sur compétence qu'ils avaient rendue préalablement. Dans ces conditions, on ne saurait leur reprocher d'avoir rendu une sentence incompatible avec l'ordre public procédural, quels que soient les motifs qui sous-tendent cette décision.</w:t>
      </w:r>
    </w:p>
    <w:p>
      <w:r>
        <w:t>Pour le reste, en tant qu'il reproche aux arbitres d'avoir considéré qu'ils devaient examiner leur compétence au moment de l'introduction de la procédure arbitrale et non au moment du prononcé de la sentence, le recourant formule un grief qui ne relève pas du principe de l'autorité de la chose jugée, mais qui se rapporte à la compétence du Tribunal arbitral. Or, l'intéressé ne soulève pas le grief d'incompétence dans son mémoire de recours. Il n'y a dès lors pas lieu d'examiner cette question.</w:t>
      </w:r>
    </w:p>
    <w:p>
      <w:r>
        <w:rPr>
          <w:b/>
        </w:rPr>
        <w:t>E. 7</w:t>
      </w:r>
    </w:p>
    <w:p>
      <w:r>
        <w:t>En définitive, le recours doit être rejeté dans la mesure de sa recevabilité.</w:t>
      </w:r>
    </w:p>
    <w:p>
      <w:r>
        <w:t>Le recourant, qui succombe, paiera les frais judiciaires ( art. 66 al. 1 LTF ) et versera aux intimées 1 à 3 et 5 à 9, créancières solidaires, une indemnité à titre de dépens ( art. 68 al. 1 et 2 LTF ). Les autres parties intimées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