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4A_186/2019 vom 20. Dezember 2019</w:t>
      </w:r>
    </w:p>
    <w:p>
      <w:r>
        <w:t>Bundesgericht, 2019-12-20, FR</w:t>
      </w:r>
    </w:p>
    <w:p>
      <w:r>
        <w:rPr>
          <w:b/>
        </w:rPr>
        <w:t xml:space="preserve">Quelle: </w:t>
      </w:r>
      <w:r>
        <w:t>https://mcp.opencaselaw.ch/entscheid/bger_4A_186_2019</w:t>
      </w:r>
    </w:p>
    <w:p>
      <w:r>
        <w:t>FR: TF 4A_186/2019 du 20 décembre 2019</w:t>
      </w:r>
    </w:p>
    <w:p>
      <w:r>
        <w:t>IT: TF 4A_186/2019 del 20 dicembre 2019</w:t>
      </w:r>
    </w:p>
    <w:p>
      <w:pPr>
        <w:pStyle w:val="Heading2"/>
      </w:pPr>
      <w:r>
        <w:t>Erwägungen</w:t>
      </w:r>
    </w:p>
    <w:p>
      <w:r>
        <w:rPr>
          <w:b/>
        </w:rPr>
        <w:t>E. 1</w:t>
      </w:r>
    </w:p>
    <w:p>
      <w:r>
        <w:t>Les conditions de recevabilité du recours en matière civile sont réalisées sur le principe, notamment sous l'angle de la valeur litigieuse minimale de 15'000 fr. ( art. 74 al. 1 let. a LTF ) et du délai pour recourir ( art. 100 al. 1 LTF en lien avec les art. 45 al. 1 et 46 al. 1 let. a LTF). Demeure réservé l'examen des griefs particuliers.</w:t>
      </w:r>
    </w:p>
    <w:p>
      <w:r>
        <w:rPr>
          <w:b/>
        </w:rPr>
        <w:t>E. 2.1</w:t>
      </w:r>
    </w:p>
    <w:p>
      <w:r>
        <w:t>Le recours en matière civile peut être exercé pour violation du droit fédéral ( art. 95 let. a LTF ), y compris le droit constitutionnel ( ATF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Par exception à la règle selon laquelle il applique le droit d'office, il n'examine la violation d'un droit constitutionnel que si le grief a été invoqué et motivé de façon détaillée ( art. 106 al. 2 LTF ; ATF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t>En matière d'appréciation des preuves, le Tribunal fédéral se montre pareillement réservé.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w:t>
      </w:r>
    </w:p>
    <w:p>
      <w:r>
        <w:t>En l'espèce, dans la mesure où elle prétend récapituler les faits pertinents en s'écartant de ceux établis par la cour cantonale sans démontrer qu'ils l'aient été de manière arbitraire, la recourante méconnaît ces principes. Il ne sera donc pas tenu compte de ces faits divergents.</w:t>
      </w:r>
    </w:p>
    <w:p>
      <w:r>
        <w:rPr>
          <w:b/>
        </w:rPr>
        <w:t>E. 3</w:t>
      </w:r>
    </w:p>
    <w:p>
      <w:r>
        <w:t>La recourante soulève trois griefs à l'encontre de l'arrêt attaqué. La cour cantonale aurait violé son droit d'être entendue, elle aurait constaté certains faits de manière manifestement inexacte et enfin violé l' art. 337 CO .</w:t>
      </w:r>
    </w:p>
    <w:p>
      <w:r>
        <w:rPr>
          <w:b/>
        </w:rPr>
        <w:t>E. 3.1</w:t>
      </w:r>
    </w:p>
    <w:p>
      <w:r>
        <w:t>La recourante soutient tout d'abord que les juges cantonaux auraient dû procéder à l'audition du témoin T.________ et qu'en omettant de le faire, ils auraient violé son droit d'être entendue. Elle se borne toutefois à affirmer qu'elle n'a pas abandonné sa requête, sans discuter les motifs ayant conduit les juges d'appel à considérer qu'elle y avait renoncé - et sans davantage chercher à démontrer en quoi l'appréciation anticipée des preuves présentée en guise d'argument alternatif serait arbitraire. Son grief est irrecevable.</w:t>
      </w:r>
    </w:p>
    <w:p>
      <w:r>
        <w:t>Invoquant un autre pan du droit d'être entendu, à savoir le droit d'obtenir une décision motivée, la recourante reproche aux juges d'appel d'avoir méconnu que non seulement elle contestait avoir commis un manquement, mais niait de surcroît qu'il pût constituer un juste motif de résiliation immédiate. En réalité, la cour cantonale a procédé à une déduction: l'employée ne contestait pas que la mise en vente sur Internet d'une montre acquise à un prix préférentiel pouvait paraître choquante et problématique et elle ne niait pas davantage que le fait de travailler dans l'horlogerie haut de gamme impliquait un degré de confiance élevé entre les employés. Partant, elle en a tiré la conclusion querellée, selon laquelle le fait de vendre une montre achetée à un prix préférentiel et dont la revente était interdite constituait un juste motif de résiliation immédiate du contrat de travail. Contrairement à ce que la recourante prétend, son grief n'est pas demeuré lettre morte. Elle n'est donc pas fondée à se plaindre d'une violation de son droit d'être entendue.</w:t>
      </w:r>
    </w:p>
    <w:p>
      <w:r>
        <w:rPr>
          <w:b/>
        </w:rPr>
        <w:t>E. 3.2</w:t>
      </w:r>
    </w:p>
    <w:p>
      <w:r>
        <w:t>La recourante soutient ensuite que ni son mari ni elle n'a essayé de revendre la montre litigieuse. Si celle-ci s'est retrouvée mise en vente sur Internet sur le marché gris asiatique, ce serait le fait de T.________. Les premiers juges sont parvenus à la conclusion que l'employée savait, ou à tout le moins pouvait très fortement se douter que son mari destinait cette montre à son commerce et non à son poignet. La cour cantonale a repris implicitement cette constatation de fait dans son jugement. Elle a ainsi refusé de voir dans la tentative de revente de cette montre l'acte d'un tiers qui, après avoir eu accès à la montre et au certificat de garantie qu'il a pris en photo chez la recourante et son mari, aurait agi de son propre mouvement et pour des motifs inexplicables. La recourante se contente de livrer sa propre appréciation des faits, sans démontrer en quoi la cour cantonale aurait versé dans l'arbitraire. Son grief est irrecevable.</w:t>
      </w:r>
    </w:p>
    <w:p>
      <w:r>
        <w:rPr>
          <w:b/>
        </w:rPr>
        <w:t>E. 3.3</w:t>
      </w:r>
    </w:p>
    <w:p>
      <w:r>
        <w:t>Enfin, la recourante fait grief au tribunal de première instance d'avoir omis d'analyser le manquement qui lui est reproché dans le contexte plus général de la position et des responsabilités qui étaient les siennes au sein de l'entreprise, de la durée des rapports contractuels et de la qualité du travail qu'elle a fourni. Outre que ce grief n'est pas dirigé contre le jugement de dernière instance cantonale selon l' art. 75 al. 1 LTF , c'est le lieu de souligner que la cour cantonale a évoqué plusieurs de ces éléments pour en conclure qu'ils ne remettaient pas en cause l'importance du manquement reproché (arrêt attaqué p. 8 in fine et 9). Ce grief, pour autant que recevable, est dès lors privé de fondement. Sur la base des constatations de fait dont la recourante échoue à démontrer qu'elles seraient entachées d'arbitraire, l'autorité précédente pouvait retenir sans enfreindre l' art. 337 CO de justes motifs de licenciement immédiat, eu égard, notamment, au domaine de travail très particulier nécessitant une confiance absolue, et aux explications de l'employée qui étaient de nature à dissoudre définitivement ce qui aurait pu rester du lien de confiance.</w:t>
      </w:r>
    </w:p>
    <w:p>
      <w:r>
        <w:t>Partant, le recours doit être rejeté, dans la mesure où il est recevable. La recourante supportera les frais de procédure fixés selon l' art. 65 al. 4 let . c LTF et versera à son adverse partie une indemnité à titre de dépens ( art. 66 al. 1 LTF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