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4A_186/2010 vom 3. Juni 2010</w:t>
      </w:r>
    </w:p>
    <w:p>
      <w:r>
        <w:t>Bundesgericht, 2010-06-03, FR</w:t>
      </w:r>
    </w:p>
    <w:p>
      <w:r>
        <w:rPr>
          <w:b/>
        </w:rPr>
        <w:t xml:space="preserve">Quelle: </w:t>
      </w:r>
      <w:r>
        <w:t>https://mcp.opencaselaw.ch/entscheid/bger_4A_186_2010</w:t>
      </w:r>
    </w:p>
    <w:p>
      <w:r>
        <w:t>FR: TF 4A_186/2010 du 3 juin 2010</w:t>
      </w:r>
    </w:p>
    <w:p>
      <w:r>
        <w:t>IT: TF 4A_186/2010 del 3 giugno 2010</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15'000 fr. ( art. 74 al. 1 let. a LTF ), le recours est en principe recevable, puisqu'il a été déposé dans le délai (art. 48 al. 1 et 100 al. 1 LTF)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En règle générale, la partie recourante est autorisée à attaquer des constatations de fait ainsi irrégulières si la correction du vice est susceptible d'influer sur le sort de la cause ( art. 97 al. 1 LTF ).</w:t>
      </w:r>
    </w:p>
    <w:p>
      <w:r>
        <w:t>La partie recourante ne peut critiquer les constatations de fait qu'en expliquant de manière circonstanciée en quoi les conditions d'une exception prévue par l' art. 105 al. 2 LTF seraient réalisées, faute de quoi il n'est pas possible de tenir compte d'un état de fait qui diverge de celui contenu dans la décision attaquée ( ATF 133 IV 286 consid. 1.4 p. 287).</w:t>
      </w:r>
    </w:p>
    <w:p>
      <w:r>
        <w:rPr>
          <w:b/>
        </w:rPr>
        <w:t>E. 1.4</w:t>
      </w:r>
    </w:p>
    <w:p>
      <w:r>
        <w:t>Aucun fait nouveau ni preuve nouvelle ne peut être présenté à moins de résulter de la décision de l'autorité précédente ( art. 99 al. 1 LTF ).</w:t>
      </w:r>
    </w:p>
    <w:p>
      <w:r>
        <w:rPr>
          <w:b/>
        </w:rPr>
        <w:t>E. 2</w:t>
      </w:r>
    </w:p>
    <w:p>
      <w:r>
        <w:t>Le présent litige porte sur la question de savoir si l'employeuse devait ou non communiquer à l'employé le délai de 30 jours imparti à celui-ci pour formuler la demande de transfert dans l'assurance individuelle.</w:t>
      </w:r>
    </w:p>
    <w:p>
      <w:r>
        <w:t>Dans un premier grief, la recourante dénonce un établissement arbitraire des faits. Elle reproche à la cour cantonale d'avoir refusé de compléter l'état de fait par la mention de quatre correspondances, soit la lettre adressée le 29 avril 2004 par l'employeuse à W.________ Assurances et les lettres de cette dernière à l'intimé, datées pour deux d'entre elles du 10 mai 2004 et pour la troisième du 2 juin 2004.</w:t>
      </w:r>
    </w:p>
    <w:p>
      <w:r>
        <w:t>La recourante ne prétend pas que les titres évoqués permettraient d'établir que l'employé a bien été informé du délai dans lequel il devait agir, mais tente de démontrer l'existence de relations entre l'intimé et l'assurance, voire encore entre ceux-ci et elle-même, ce qui est sans pertinence pour la solution du litige.</w:t>
      </w:r>
    </w:p>
    <w:p>
      <w:r>
        <w:t>Dès lors, la critique formulée par la recourante est vaine et il n'y a pas lieu de s'écarter de l'état de fait cantonal.</w:t>
      </w:r>
    </w:p>
    <w:p>
      <w:r>
        <w:rPr>
          <w:b/>
        </w:rPr>
        <w:t>E. 3</w:t>
      </w:r>
    </w:p>
    <w:p>
      <w:r>
        <w:t>La cour cantonale a considéré que l'information fournie par l'employeuse dans sa lettre du 28 avril 2004 (recte: 29 avril 2004) est insuffisante, dès lors qu'elle ne fait pas mention du délai dans lequel la demande de transfert devait être formulée. La recourante y voit une violation de l' art. 331 al. 4 CO ; elle estime que, sur ce point, il incombait à l'intimé d'être lui-même actif et de se renseigner.</w:t>
      </w:r>
    </w:p>
    <w:p>
      <w:r>
        <w:t>Aux termes de l' art. 331 al. 4 CO , l'employeur donne au travailleur les renseignements nécessaires sur ses droits envers une institution de prévoyance professionnelle ou en faveur du personnel ou envers un assureur. Cette disposition prévoit un devoir d'information de l'employeur envers ses employés, afin que ces derniers puissent préserver leurs droits (CHRISTIANE BRUNNER ET AL., Commentaire du contrat de travail, 3e éd. 2004, no 8 ad art. 331 CO ).</w:t>
      </w:r>
    </w:p>
    <w:p>
      <w:r>
        <w:t>Comme rappelé par l'instance cantonale, le régime ordinaire de l'assurance pour perte de gain en cas de maladie régie par la LCA est le versement des prestations jusqu'à épuisement de celles-ci lorsque le sinistre est intervenu durant la période de couverture; il est toutefois possible de déroger à ce régime ordinaire par l'adoption d'un système particulier prévoyant la cessation du paiement des indemnités d'assurance à la fin des rapports de travail ( ATF 127 III 106 consid. 3b p. 109 s.). Dans cette dernière hypothèse, le travailleur a la possibilité de maintenir son droit aux prestations d'assurance après la fin des relations contractuelles, en formulant une demande de transfert; pour ce faire, il doit agir dans un certain délai, défini dans les conditions générales d'assurance.</w:t>
      </w:r>
    </w:p>
    <w:p>
      <w:r>
        <w:t>Il ressort du jugement cantonal que l'employé n'était pas informé du fait que l'assurance choisie par l'employeuse dérogeait au régime ordinaire de la LCA et que, partant, le paiement des indemnités d'assurance devait cesser à l'extinction du contrat. Il s'ensuit que l'employeuse devait informer son employé - qui était fondé à penser que les prestations continueraient à être versées après la fin des rapports de travail ( ATF 124 III 126 consid. 2b p. 132 s.) - du délai de 30 jours dans lequel il devait agir pour sauvegarder ses droits (dans ce sens, voir ROLF A. TOBLER ET AL., in Arbeitsrecht, 2006, no 4.1 ad art. 331 CO ; CHRISTIANE BRUNNER ET AL., op. cit., no 8 ad art. 331 CO ; cf. ég. ULLIN STREIFF/ADRIAN VON KAENEL, in Arbeitsvertrag, 6e éd. 2006, no 10 ad art. 331 CO ). Rien de semblable n'est établi. Dans cette mesure, c'est à juste titre que la cour cantonale a retenu que l'information fournie par l'employeuse était insuffisante au sens de l' art. 331 al. 4 CO .</w:t>
      </w:r>
    </w:p>
    <w:p>
      <w:r>
        <w:rPr>
          <w:b/>
        </w:rPr>
        <w:t>E. 4</w:t>
      </w:r>
    </w:p>
    <w:p>
      <w:r>
        <w:t>Au regard du considérant qui précède, il ne saurait être reproché à l'employé, sous l'angle d'un éventuel abus de droit, de ne pas avoir contacté, dans le délai, l'assurance perte de gain; on ne saurait pas plus, sur le sujet, lui imputer une faute concomitante.</w:t>
      </w:r>
    </w:p>
    <w:p>
      <w:r>
        <w:t>Les moyens s'y rapportant, qui reposent sur la prémisse erronée que l'intimé a été correctement informé de ses droits et qu'il lui appartenait de se manifester et d'agir à temps pour s'affilier à titre individuel, sont donc dénués de tout fondement.</w:t>
      </w:r>
    </w:p>
    <w:p>
      <w:r>
        <w:rPr>
          <w:b/>
        </w:rPr>
        <w:t>E. 5</w:t>
      </w:r>
    </w:p>
    <w:p>
      <w:r>
        <w:t>C'est donc sans violer le droit fédéral que la cour cantonale a débouté la recourante de ses conclusions.</w:t>
      </w:r>
    </w:p>
    <w:p>
      <w:r>
        <w:rPr>
          <w:b/>
        </w:rPr>
        <w:t>E. 6</w:t>
      </w:r>
    </w:p>
    <w:p>
      <w:r>
        <w:t>Le recours est rejeté dans la mesure de sa recevabilité.</w:t>
      </w:r>
    </w:p>
    <w:p>
      <w:r>
        <w:t>Compte tenu de l'issue du litige, les frais et dépens sont mis à la charge de la recourante, qui succombe (art. 66 al. 1 et 68 al. 1 et 2 LTF).</w:t>
      </w:r>
    </w:p>
    <w:p>
      <w:r>
        <w:t>La Caisse du Tribunal fédéral versera à Me Charlotte Iselin une indemnité à titre d'honoraires d'avocate d'office au cas où les dépens alloués à l'intimé ne pourraient pas être recouvrés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