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185/2014 vom 28. April 2014</w:t>
      </w:r>
    </w:p>
    <w:p>
      <w:r>
        <w:t>Bundesgericht, 2014-04-28, DE</w:t>
      </w:r>
    </w:p>
    <w:p>
      <w:r>
        <w:rPr>
          <w:b/>
        </w:rPr>
        <w:t xml:space="preserve">Quelle: </w:t>
      </w:r>
      <w:r>
        <w:t>https://mcp.opencaselaw.ch/entscheid/bger_4A_185_2014</w:t>
      </w:r>
    </w:p>
    <w:p>
      <w:r>
        <w:t>FR: TF 4A 185/2014 du 28 avril 2014</w:t>
      </w:r>
    </w:p>
    <w:p>
      <w:r>
        <w:t>IT: TF 4A 185/2014 del 28 aprile 2014</w:t>
      </w:r>
    </w:p>
    <w:p>
      <w:pPr>
        <w:pStyle w:val="Heading2"/>
      </w:pPr>
      <w:r>
        <w:t>Regeste</w:t>
      </w:r>
    </w:p>
    <w:p>
      <w:r>
        <w:t>unentgeltliche Rechtspflege | Obligationenrecht (allgemein)</w:t>
      </w:r>
    </w:p>
    <w:p>
      <w:pPr>
        <w:pStyle w:val="Heading2"/>
      </w:pPr>
      <w:r>
        <w:t>Volltext</w:t>
      </w:r>
    </w:p>
    <w:p>
      <w:r>
        <w:t>Bundesgericht I. zivilrechtliche Abteilung 28.04.2014 4A 185/2014 (4A_185/2014) Tribunal fédéral Ire Cour de droit civil 28.04.2014 4A 185/2014 (4A_185/2014) Tribunale federale I Corte di diritto civile 28.04.2014 4A 185/2014 (4A_185/2014)</w:t>
      </w:r>
    </w:p>
    <w:p>
      <w:r>
        <w:t>unentgeltliche Rechtspflege | Obligationenrecht (allgemein)</w:t>
      </w:r>
    </w:p>
    <w:p>
      <w:r>
        <w:t>Bundesgericht Tribunal fédéral Tribunale federale Tribunal federal {T 0/2} 4A_185/2014 Urteil vom 28. April 2014 I. zivilrechtliche Abteilung Besetzung Bundesrichterin Klett, Präsidentin, Gerichtsschreiber Huguenin. Verfahrensbeteiligte A.________, Beschwerdeführer, gegen Kantonsgericht Basel-Landschaft, Abteilung Zivilrecht , Beschwerdegegner. Gegenstand Unentgeltliche Rechtspflege, Beschwerde gegen den Entscheid des Kantonsgerichts Basel-Landschaft, Abteilung Zivilrecht, vom 17. Februar 2014. In Erwägung, dass das Kantonsgericht Basel-Landschaft mit Verfügung vom 27. Januar 2014 das Gesuch des Beschwerdeführers um unentgeltliche Rechtspflege für das Berufungsverfahren abwies und diesem eine Nachfrist bis 7. Februar 2014 zur Bezahlung des Kostenvorschusses von Fr. 10'000.-- ansetzte; dass der Beschwerdeführer diese Verfügung mit Rechtsschrift vom 28. Februar 2014 beim Bundesgericht anfocht, das mit Urteil vom 10. März 2014 auf die Beschwerde wegen Verspätung nicht eintrat; dass das Kantonsgericht mit Entscheid vom 17. Februar 2014 auf die Berufung des Beschwerdeführers nicht eintrat, weil dieser den von ihm verlangten Kostenvorschuss innerhalb der angesetzten Nachfrist nicht bezahlt hatte; dass der Beschwerdeführer dem Bundesgericht eine vom 20. März 2014 datierte Rechtsschrift einreichte, aus der abgeleitet werden kann, dass er die Verfügung des Kantonsgericht vom 27. Januar 2014 und dessen Entscheid vom 17. Februar 2014 mit Beschwerde beim Bundesgericht anfechten will;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die Rechtsschrift vom 20. März 2014 diesen Begründungsanforderungen offensichtlich nicht genügt, soweit mit der Beschwerde der Entscheid des Kantonsgerichts vom 17. Februar 2014 angefochten wird; dass aus den folgenden Gründen auf die Beschwerde auch insoweit nicht einzutreten ist, als sie sich gegen die Verfügung des Kantonsgerichts vom 27. Januar 2014 richtet; dass es sich bei dieser Verfügung um einen Zwischenentscheid im Sinne von Art. 93 Abs. 1 BGG handelt, der vom Beschwerdeführer mit Rechtsschrift vom 28. Februar 2014 erfolglos beim Bundesgericht angefochten worden ist; dass der Beschwerdeführer somit im Sinne von Art. 93 Abs. 3 BGG bereits von der Beschwerde ans Bundesgericht Gebrauch gemacht hat, weshalb er die Verfügung nicht zusammen mit der Beschwerde gegen den Endentscheid vom 17. Februar 2014 ein zweites Mal anfechten kann; dass aus diesen Gründen auf die Beschwerde im Verfahren nach Art. 108 Abs. 1 lit. a und b BGG nicht einzutreten ist;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die Gerichtskosten dem Beschwerdeführer aufzuerlegen sind ( Art. 66 Abs. 1 BGG ); erkennt die Präsidentin: 1. Auf die Beschwerde wird nicht eingetreten. 2. Das Gesuch um Gewährung der unentgeltlichen Rechtspflege wird abgewiesen. 3. Die Gerichtskosten von Fr. 500.-- werden dem Beschwerdeführer auferlegt. 4. Dieses Urteil wird dem Beschwerdeführer und dem Kantonsgericht Basel-Landschaft, Abteilung Zivilrecht, schriftlich mitgeteilt. Lausanne, 28. April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