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4A_184/2020 vom 15. Juli 2020</w:t>
      </w:r>
    </w:p>
    <w:p>
      <w:r>
        <w:t>Bundesgericht, 2020-07-15, DE</w:t>
      </w:r>
    </w:p>
    <w:p>
      <w:r>
        <w:rPr>
          <w:b/>
        </w:rPr>
        <w:t xml:space="preserve">Quelle: </w:t>
      </w:r>
      <w:r>
        <w:t>https://mcp.opencaselaw.ch/entscheid/bger_4A_184_2020</w:t>
      </w:r>
    </w:p>
    <w:p>
      <w:r>
        <w:t>FR: TF 4A_184/2020 du 15 juillet 2020</w:t>
      </w:r>
    </w:p>
    <w:p>
      <w:r>
        <w:t>IT: TF 4A_184/2020 del 15 luglio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 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verkennt diese Grundsätze über weite Strecken. So kritisiert sie etwa die vorinstanzliche Erwägung, wonach sie in ihrer Berufung neu Ausführungen zur Geschichte der B.________ AG und zu den Vertragsverhandlungen gemacht habe, ohne jedoch auszuführen, weshalb sie diese Noven nicht schon vor der Erstinstanz hätte vorbringen können. Dabei behauptet die Beschwerdeführerin vor Bundesgericht lediglich, die Vorinstanz habe übersehen, dass die fraglichen Tatsachen entweder bereits im erstinstanzlichen Verfahren in den Prozess eingeführt oder von der Gegenseite im Verfahren anerkannt worden seien, belegt dies jedoch nicht mit Aktenhinweisen. Der Vorwurf, die Vorinstanz habe Art. 152 Abs. 1 und Art. 317 ZPO sowie Art. 29 Abs. 2 BV missachtet, stösst bereits aus diesem Grund ins Leere. Zudem bezeichnet die Beschwerdeführerin die vorinstanzliche Sachverhaltsabklärung im Zusammenhang mit den Umständen des Vertragsschlusses als offensichtlich unzureichend, zeigt jedoch nicht auf, um welche konkreten Tatsachen es sich dabei handeln soll. Abgesehen davon verkennt sie mit ihrem Hinweis auf Art. 247 Abs. 2 ZPO die Tragweite dieser Bestimmung: Wie unter dem Verhandlungsgrundsatz im ordentlichen Verfahren haben die Parteien dem Gericht auch im Rahmen der sozialen Untersuchungsmaxime gemäss Art. 247 Abs. 2 lit. a in Verbindung mit Art. 243 Abs. 2 lit. c ZPO den Sachverhalt zu unterbreiten. Das Gericht ist - namentlich bei anwaltlich vertretenen Parteien - nicht gehalten, die Akten von sich aus zu durchforsten, um abzuklären, was sich daraus zu Gunsten der Partei, die das Beweismittel angerufen hat, herleiten liesse; vielmehr hat es sich bei anwaltlich vertretenen Parteien grundsätzlich Zurückhaltung aufzuerlegen wie in einem ordentlichen Verfahren ( BGE 141 III 569 E. 2.3.1 S. 575 mit Hinweisen).</w:t>
      </w:r>
    </w:p>
    <w:p>
      <w:r>
        <w:t>Auch in ihrer weiteren Beschwerdebegründung weicht die Beschwerdeführerin in unzulässiger Weise von den Sachverhaltsfeststellungen im angefochtenen Entscheid ab und unterbreitet dem Bundesgericht ihre Sicht der Dinge hinsichtlich des Zustands des Hotels C.________ vor der Übernahme durch sie. Zudem behauptet sie etwa, die Parteien seien auch im Stadium der Vertragsanbahnung einvernehmlich davon ausgegangen, dass die Beschwerdegegnerin Betriebs- und Unterhaltskosten des Hotels in der Grössenordnung von rund Fr. 1 Mio. pro Jahr tragen müsse, ohne jedoch eine hinreichend begründete Sachverhaltsrüge zu erheben. Mitunter bezeichnet sie einzelne Erwägungen im angefochtenen Entscheid als willkürlich ( Art. 9 BV ), verfehlt dabei jedoch die an Verfassungsrügen gestellten Begründungsanforderungen.</w:t>
      </w:r>
    </w:p>
    <w:p>
      <w:r>
        <w:t>Die entsprechenden Vorbringen haben unbeachtet zu bleiben.</w:t>
      </w:r>
    </w:p>
    <w:p>
      <w:r>
        <w:rPr>
          <w:b/>
        </w:rPr>
        <w:t>E. 2</w:t>
      </w:r>
    </w:p>
    <w:p>
      <w:r>
        <w:t>Die Beschwerdeführerin wirft der Vorinstanz eine Verletzung von Art. 298 Abs. 2 OR vor.</w:t>
      </w:r>
    </w:p>
    <w:p>
      <w:r>
        <w:rPr>
          <w:b/>
        </w:rPr>
        <w:t>E. 2.1</w:t>
      </w:r>
    </w:p>
    <w:p>
      <w:r>
        <w:t>Die Vorinstanz führte aus, das Gesetz schreibe für die Kündigung des Verpächters eine spezielle Schriftform vor, indem er nach Art. 298 Abs. 2 OR auf einem vom Kanton genehmigten Formular zu kündigen habe, das angebe, wie der Pächter vorzugehen habe, wenn er die Kündigung anfechten oder eine Erstreckung des Pachtverhältnisses verlangen wolle. Diese Regelung entspreche derjenigen des Mietrechts ( Art. 266l Abs. 2 OR ) und gelte sowohl für ordentliche Kündigungen nach Art. 296 OR wie auch für ausserordentliche Kündigungen nach Art. 282 und Art. 297 ff. OR . Der Gesetzgeber schreibe in Art. 9 der Verordnung vom 9. Mai 1990 über die Miete und Pacht von Wohn- und Geschäftsräumen (VMWG; SR 221.213.11) den notwendigen Inhalt dieses Formulars vor: Bezeichnung des Mietgegenstands, Bekanntgabe des Zeitpunkts der Kündigung, Hinweis auf das Recht, eine Begründung der Kündigung zu verlangen, Hinweis auf die gesetzlichen Voraussetzungen der Anfechtung der Kündigung und der Erstreckung sowie Angabe der zuständigen Schlichtungsbehörde. Sinn und Zweck dieser gesetzlichen Vorgaben sei es, dass auch ein rechtsunkundiger Mieter auf seine Rechte hingewiesen werde. Folglich müssten die Angaben klar und verständlich sein, damit jeder Mieter verstehe, dass ihm gekündigt worden ist und was er dagegen unternehmen kann.</w:t>
      </w:r>
    </w:p>
    <w:p>
      <w:r>
        <w:t>Die Beschwerdegegnerin habe für die Kündigung vom 29. Mai 2018 unbestrittenermassen das amtliche Formular verwendet. Darin habe sie die Miet-/Pachtobjekte angeführt. Sie habe der Beschwerdeführerin mitgeteilt, dass aufgrund ausstehender Miet- bzw. Pachtzinsen das Vertragsverhältnis ausserordentlich auf den 30. Juni 2018 gekündigt werde und habe Art. 282 OR in Klammern angefügt. Weiter habe sie ausgeführt, für den Fall, dass sich die ausserordentliche Kündigung als unzulässig erweisen sollte, werde das Vertragsverhältnis subsidiär ordentlich, mit 6-monatiger Kündigungsfrist per 30. November 2018 gekündigt, wobei sie Art. 297 OR in Klammern angefügt habe. Bereits vorgedruckt st ünden auf dem Formular die Hinweise auf den Anspruch, eine Begründung zu verlangen, und auf das Vorgehen zur Anfechtung der Kündigung oder zur Erstreckung. Folglich habe die Beschwerdegegnerin mit diesem Formular alle gesetzlich notwendigen Mitteilungen gemacht. Die Beschwerdeführerin trage nicht konkret vor, was nach ihrer Auffassung fehle; ebenso wenig führe sie aus, weshalb die aufgeführten Angaben für sie nicht klar gewesen seien, schreibe sie doch selber in ihrer Berufungsschrift, dass die Beschwerdegegnerin eine primäre Kündigung gestützt auf Art. 282 OR und eine subsidiäre gestützt auf Art. 297 OR ausgesprochen habe. Ausgehend vom Sinn und Zweck der erwähnten Formvorschrift müsse auch die Mitteilung einer primären und einer subsidiären Kündigung auf einem Kündigungsformular zulässig sein, wenn diese für den Gekündigten klar und verständlich sei. Die Beschwerdeführerin habe überhaupt nicht ausgeführt, aus welchen Gründen für sie die aufgeführten Kündigungsgründe nicht verständlich und demzufolge nicht klar gewesen seien.</w:t>
      </w:r>
    </w:p>
    <w:p>
      <w:r>
        <w:rPr>
          <w:b/>
        </w:rPr>
        <w:t>E. 2.2</w:t>
      </w:r>
    </w:p>
    <w:p>
      <w:r>
        <w:t>Die Beschwerdeführerin bringt vor, es sei nicht sicher, was für eine subsidiäre Kündigung wirklich vorliege. Sie vermag aber auch vor Bundesgericht nicht konkret darzulegen, inwiefern ihr eine Anfechtung der Kündigung erschwert worden wäre, war doch aufgrund des ausdrücklichen Hinweises in der Mitteilung auf Art. 297 OR klar, dass es sich bei der subsidiären Kündigung um eine solche aus wichtigen Gründen nach dieser Bestimmung handelte. Abgesehen davon geht aus der fraglichen Mitteilung unzweideutig hervor, dass die Beschwerdegegnerin primär eine Kündigung wegen Zahlungsrückstands nach Art. 282 OR aussprach, was auch in der Beschwerde zu Recht nicht in Frage gestellt wird. Die subsidiäre Kündigung, auf die sich die Beschwerdeführerin nunmehr stützt, war im kantonalen Verfahren gar nicht thematisiert worden; ob diese der gesetzlich vorgeschriebenen Form genügte, könnte daher von vornherein nur von Bedeutung sein, falls die primäre Kündigung nach Art. 282 OR keinen Bestand haben sollte. Inwiefern diese die formellen Anforderungen nach Art. 298 Abs. 2 OR missachtet haben sollte, ist nicht ersichtlich.</w:t>
      </w:r>
    </w:p>
    <w:p>
      <w:r>
        <w:t>Die Vorinstanz hat die wegen Zahlungsrückstands ausgesprochene Kündigung vom 29. Mai 2018zu Recht nicht als formnichtig betrachtet.</w:t>
      </w:r>
    </w:p>
    <w:p>
      <w:r>
        <w:rPr>
          <w:b/>
        </w:rPr>
        <w:t>E. 3</w:t>
      </w:r>
    </w:p>
    <w:p>
      <w:r>
        <w:t>Die Beschwerdeführerin rügt eine unrichtige Anwendung von Art. 282 OR .</w:t>
      </w:r>
    </w:p>
    <w:p>
      <w:r>
        <w:rPr>
          <w:b/>
        </w:rPr>
        <w:t>E. 3.1</w:t>
      </w:r>
    </w:p>
    <w:p>
      <w:r>
        <w:t>Die Vorinstanz liess den Einwand der Beschwerdeführerin nicht gelten, die offenen Pachtzinsen von Fr. 431'200.-- seien durch Verrechnungserklärung vom 18. Mai 2018 getilgt worden. Sie hielt zunächst fest, die Ausführungen der Beschwerdeführerin zur Vertragsauslegung genügten den Anforderungen an eine hinreichende Begründung der Berufung nicht, weshalb grundsätzlich darauf nicht einzutreten sei. Die Vorinstanz äusserte sich in der Folge dennoch zu einzelnen Punkten: Die Beschwerdeführerin habe ihre angebliche Verrechnungsforderung zu Unrecht auf Ziffer 4 des Pachtvertrags vom 26. Januar 2017 gestützt. Gemäss dieser Vertragsbestimmung sind die "Betriebskosten (exkl. Gebäudeversicherung, Hauseigentümer-Haftpflichtversicherung) sowie sämtliche Unterhaltskosten von der [Pächterin] zu tragen bis zu einer Obergrenze von 10 % des Bruttoertrags pro Jahr". Wie bereits die Erstinstanz ging auch die Vorinstanz davon aus, dass sich in Ziffer 4 des Pachtvertrags kein Hinweis finde, dass mit "Betriebskosten" der gesamte Betriebsaufwand des Hotels gemeint sein könnte, wie von der Beschwerdeführerin vorgebracht. Die Formulierung in Ziffer 4, wonach "Betriebskosten (exkl. Gebäudeversicherung, Hauseigentümer-Haftpflichtversicherung) " von der Pächterin zu tragen seien, deute vielmehr darauf hin, dass damit Nebenkosten im Sinne des Miet-/Pachtrechts gemeint seien (Art. 281 Abs. 2 i.V.m. Art. 257a Abs. 1 sowie Art. 257b Abs. 1 OR , wo neben Kosten für Heizung und Warmwasser auch "ähnliche Betriebskosten" aufgeführt werden).</w:t>
      </w:r>
    </w:p>
    <w:p>
      <w:r>
        <w:rPr>
          <w:b/>
        </w:rPr>
        <w:t>E. 3.2</w:t>
      </w:r>
    </w:p>
    <w:p>
      <w:r>
        <w:t>Die Beschwerdeführerin bringt vor, mit der vertraglichen Formulierung in Ziffer 4 des Pachtvertrags werde auf die buchhalterischen Betriebs- und Unterhaltskosten des Hotelbetriebs auf den Pachtgrundstücken abgestellt, was für das fragliche Betriebsjahr eine Forderung gegenüber der Beschwerdegegnerin in der Höhe von Fr. 925'895.49 ergebe (Betriebs- und Unterhaltskosten gemäss Erfolgsrechnung: Fr. 1'640'959.42; 10 % des Bruttoertrags von Fr. 7'150'639.33: Fr. 715'063.93; Differenz zwischen Betriebs- und Unterhaltskosten gemäss Erfolgsrechnung und 10 % des Bruttoertrags: Fr. 925'895.49). Die Beschwerdegegnerin habe sich somit gemäss vertraglicher Abmachung an den Betriebs- und Unterhaltskosten des Hotelbetriebs der Beschwerdeführerin zu beteiligen.</w:t>
      </w:r>
    </w:p>
    <w:p>
      <w:r>
        <w:rPr>
          <w:b/>
        </w:rPr>
        <w:t>E. 3.3</w:t>
      </w:r>
    </w:p>
    <w:p>
      <w:r>
        <w:t>Nachdem kein übereinstimmender tatsächlicher Wille der Parteien hinsichtlich der fraglichen Vertragsbestimmungen hatte festgestellt werden können, legte die Vorinstanz den Pachtvertrag zutreffend nach dem Vertrauensprinzip aus. Entgegen der in der Beschwerde vertretenen Ansicht ist Ziffer 4 des Pachtvertrags nicht dahingehend zu verstehen, dass damit über die Kosten, die mit dem Gebrauch der Sache zusammenhängen (vgl. Art. 281 Abs. 2 i.V.m. Art. 257a Abs. 1 OR ) oder den Unterhalt der Sache betreffen ( Art. 284 OR ), hinaus auch Aufwand erfasst werden soll, der sich aus dem auf den gepachteten Grundstücken betriebenen Unternehmen ergibt. Ein solches Verständnis des Pachtvertrags, nach dem die Verpächterin das - nach oben betragsmässig unbeschränkte - Risiko für sämtlichen Aufwand aus dem Geschäft der Pächterin übernehmen würde, womit sie im fraglichen Jahr anstatt einen Pachtzins zu erhalten, der Pächterin eine Zahlung für Betriebsaufwand leisten müsste, wäre mit dem Grundsatz von Treu und Glauben ( Art. 2 Abs. 1 ZGB ) nicht vereinbar. Es kann bezüglich der Vertragsauslegung auf die zutreffenden Erwägungen im angefochtenen Entscheid verwiesen werden ( Art. 109 Abs. 3 BGG ).</w:t>
      </w:r>
    </w:p>
    <w:p>
      <w:r>
        <w:t>Soweit die Beschwerdeführerin dem Bundesgericht ihre Sicht der Dinge hinsichtlich des tatsächlichen Vertragsverständnisses der Parteien unterbreitet und entgegen dem angefochtenen Entscheid behauptet, es habe ein tatsächlicher Konsens zwischen den Parteien bestanden, sind ihre Ausführungen rein appellatorisch. Sie wirft der Vorinstanz auch in diesem Zusammenhang eine Verletzung des Rechts auf Beweis sowie "weiterer verfahrensrechtlicher Bestimmungen" vor, verfehlt mit ihren pauschalen Vorbringen jedoch die gesetzlichen Begründungsanforderungen. Entgegen der in der Beschwerde vertretenen Ansicht trifft auch nicht zu, dass die Vorinstanz von einer Beweis mittelbeschränkung ausgegangen wäre; vielmehr hat sie die beantragte Befragung von D.________ in erster Linie mit der Begründung verweigert, dieser sei von der Beschwerdeführerin gerade nicht zu den konkreten Umständen des Vertragsschlusses, zum Verhalten der Parteien vor und nach der Vertragsunterzeichnung etc. beantragt worden. Darauf geht die Beschwerdeführerin nicht ein, sondern kritisiert lediglich die im Sinne einer Eventualbegründung vorgenommene antizipierte Beweiswürdigung durch die Vorinstanz, zeigt mit ihren Ausführungen jedoch auch diesbezüglich keine Willkür ( Art. 9 BV ) auf.</w:t>
      </w:r>
    </w:p>
    <w:p>
      <w:r>
        <w:t>Die Beschwerdeführerin vermag nicht aufzuzeigen, dass die Vorinstanz mit ihrer Auslegung des Pachtvertrags die massgebenden Auslegungsgrundsätze missachtet hätte. Hält die vorinstanzliche Erwägung zur Auslegung von Ziffer 4 des Pachtvertrags vor Bundesrecht stand, ist der von der Beschwerdeführerin auf diese Vertragsbestimmung gestützten Verrechnungsforderung die Grundlage entzogen (vgl. zur Verrechnungseinrede des Mieters etwa auch Urteil 4A_140/2014 vom 6. August 2014 E. 5). Die Ausführungen in der Beschwerde zur Höhe dieser Forderung stossen damit ins Leere. Verfügte die Beschwerdeführerin im massgebenden Zeitpunkt nicht über die geltend gemachte Verrechnungsforderung, ist auch ihr Einwand unbegründet, es habe im Zeitpunkt der Kündigung gar kein Zahlungsrückstand bestanden. Eine Verletzung von Art. 282 OR liegt offensichtlich nicht vor; der Einwand der Beschwerdeführerin erscheint im Gegenteil rechtsmissbräuchlich. Eine Erstreckung des Pachtverhältnisses ist unter diesen Umständen ausgeschlossen (Art. 300 Abs. 1 i.V.m. Art. 272a Abs. 1 lit. a OR ).</w:t>
      </w:r>
    </w:p>
    <w:p>
      <w:r>
        <w:rPr>
          <w:b/>
        </w:rPr>
        <w:t>E. 4</w:t>
      </w:r>
    </w:p>
    <w:p>
      <w:r>
        <w:t>Die Beschwerde ist im Verfahren nach Art. 109 Abs. 2 lit. a BGG abzuweisen, soweit darauf eingetreten werden kann. Mit dem Entscheid in der Sache wird das Gesuch um aufschiebende Wirkung gegenstandslos.</w:t>
      </w:r>
    </w:p>
    <w:p>
      <w:r>
        <w:t>Die Beschwerdeführerin wird bei diesem Ausgang des Verfahrens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