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4A_184/2019 vom 15. Juli 2019</w:t>
      </w:r>
    </w:p>
    <w:p>
      <w:r>
        <w:t>Bundesgericht, 2019-07-15, FR</w:t>
      </w:r>
    </w:p>
    <w:p>
      <w:r>
        <w:rPr>
          <w:b/>
        </w:rPr>
        <w:t xml:space="preserve">Quelle: </w:t>
      </w:r>
      <w:r>
        <w:t>https://mcp.opencaselaw.ch/entscheid/bger_4A_184_2019</w:t>
      </w:r>
    </w:p>
    <w:p>
      <w:r>
        <w:t>FR: TF 4A_184/2019 du 15 juillet 2019</w:t>
      </w:r>
    </w:p>
    <w:p>
      <w:r>
        <w:t>IT: TF 4A_184/2019 del 15 luglio 2019</w:t>
      </w:r>
    </w:p>
    <w:p>
      <w:pPr>
        <w:pStyle w:val="Heading2"/>
      </w:pPr>
      <w:r>
        <w:t>Erwägungen</w:t>
      </w:r>
    </w:p>
    <w:p>
      <w:r>
        <w:rPr>
          <w:b/>
        </w:rPr>
        <w:t>E. 1.1</w:t>
      </w:r>
    </w:p>
    <w:p>
      <w:r>
        <w:t>Bien que les conclusions de l'actionnaire ne tendent pas au paiement d'une somme d'argent, le présent différend est de nature pécuniaire au sens de l' art. 74 al. 1 LTF . En effet, la requête du recourant du 10 avril 2018, sollicitant notamment la tenue d'une assemblée générale, vise à assurer le bon fonctionnement de la société et donc à en préserver la fortune (arrêt 4A_507/2014 du 15 avril 2015 consid. 2.1.2 et les références). Si la valeur litigieuse ne correspond pas - contrairement à ce que soutient le recourant - à l'intégralité du capital-actions de la société mais uniquement à la valeur de la part du recourant, elle reste supérieure au seuil de 30'000 fr. exigé par l' art. 74 al. 1 let. b LTF .</w:t>
      </w:r>
    </w:p>
    <w:p>
      <w:r>
        <w:rPr>
          <w:b/>
        </w:rPr>
        <w:t>E. 1.2</w:t>
      </w:r>
    </w:p>
    <w:p>
      <w:r>
        <w:t>Pour le surplus, rien ne s'oppose à l'entrée en matière, le recours étant dirigé contre un jugement final ( art. 90 LTF ) rendu par une autorité cantonale de dernière instance ( art. 75 LTF ) et ayant été déposé dans le délai ( art. 100 al. 1 LTF ) et la forme ( art. 42 LTF ) prévus par la loi.</w:t>
      </w:r>
    </w:p>
    <w:p>
      <w:r>
        <w:rPr>
          <w:b/>
        </w:rPr>
        <w:t>E. 2</w:t>
      </w:r>
    </w:p>
    <w:p>
      <w:r>
        <w:t>La recourante se plaint d'une violation de l' art. 699 al. 3 et al. 4 CO . Elle estime que la requête de l'intimée ne remplissait pas les conditions formelles nécessaires afin que le juge ordonne la convocation d'une assemblée générale ayant pour ordre du jour l'élection d'un organe de révision, le courrier de l'intimée du 10 avril 2018 ne demandant pas que l'élection d'un organe de révision soit inscrite à l'ordre du jour.</w:t>
      </w:r>
    </w:p>
    <w:p>
      <w:r>
        <w:rPr>
          <w:b/>
        </w:rPr>
        <w:t>E. 2.1</w:t>
      </w:r>
    </w:p>
    <w:p>
      <w:r>
        <w:t>Selon l' art. 699 al. 3 CO , un ou plusieurs actionnaires représentant ensemble 10 % au moins du capital-actions peuvent requérir la convocation de l'assemblée générale. Des actionnaires qui représentent des actions totalisant une valeur nominale de 1 million de francs ou 10 % au moins du capital-actions ( ATF 142 III 16 consid. 2) peuvent requérir l'inscription d'un objet à l'ordre du jour. La convocation et l'inscription d'un objet à l'ordre du jour doivent être requises par écrit en indiquant les objets de discussion et les propositions. Conformément à l' art. 699 al. 4 CO , si le conseil d'administration ne donne pas suite à cette requête dans un délai convenable, la convocation est ordonnée par le juge, à la demande des requérants.</w:t>
      </w:r>
    </w:p>
    <w:p>
      <w:r>
        <w:t>L'action prévue à l' art. 699 al. 4 CO fournit à l'actionnaire requérant, qui pâtit du comportement (passif) de l'administrateur, un instrument efficace pour défendre ses intérêts. Le juge saisi sur la base de cet article ne soumet la requête qu'à un examen formel; sa décision ne reconnaît que la vraisemblance des conditions</w:t>
      </w:r>
    </w:p>
    <w:p>
      <w:r>
        <w:t>formelles de l' art. 699 al. 3 CO . Ainsi, dans cette procédure, le requérant peut se limiter à rendre vraisemblable sa qualité d'actionnaire habilité à requérir la convocation et le fait qu'il a déjà sollicité sans succès une telle convocation auprès du conseil d'administration ( ATF 142 III 16 consid. 3.1; arrêt 4A_507/2014 du 15 avril 2015 consid. 5.6). Le juge n'a, en particulier, pas à se prononcer sur la validité des décisions que l'assemblée générale sera amenée à prendre à la suite de la convocation et inscription à l'ordre du jour, cette question n'ayant à être examinée que dans le cadre d'une éventuelle action en annulation ou en nullité selon les art. 706 ss. CO ( ATF 142 III 16 consid. 3.1).</w:t>
      </w:r>
    </w:p>
    <w:p>
      <w:r>
        <w:rPr>
          <w:b/>
        </w:rPr>
        <w:t>E. 2.2</w:t>
      </w:r>
    </w:p>
    <w:p>
      <w:r>
        <w:t>Au vu de ce qui précède, c'est à juste titre que l'autorité précédente s'est limitée à un examen formel de la requête de l'intimée. Contrairement à ce que prétend la recourante, il ne saurait lui être reproché d'avoir, sur la base de cet examen formel, ordonné l'inscription à l'ordre du jour l'élection d'un organe de révision. En effet, dans son courrier du 10 avril 2018, l'intimée a requis - sans aucune ambiguïté - la convocation de l'assemblée générale, précisant quelques lignes plus bas qu'elle exigeait un contrôle restreint et l'élection d'un organe de révision au sens de l'art. 29 des statuts. En soumettant sa requête par écrit et indiquant les objets de discussion et les propositions, elle s'est conformée aux exigences formelles de l' art. 699 al. 3 CO . Le fait que l'intimée n'ait pas requis expressément que l'élection d'un organe de révision soit " inscrite à l'ordre du jour " n'y change rien, pareil formalisme n'étant pas de mise (cf. sur ce point BÖCKLI, Schweizer Aktienrecht, 4ème éd. 2009, p. 1358). Comme le retient à juste titre la juridiction précédente, la requête de l'intimée ne pouvait être comprise que dans le sens d'une requête d'inscription de cet objet à l'ordre du jour.</w:t>
      </w:r>
    </w:p>
    <w:p>
      <w:r>
        <w:rPr>
          <w:b/>
        </w:rPr>
        <w:t>E. 3</w:t>
      </w:r>
    </w:p>
    <w:p>
      <w:r>
        <w:t>Le présent recours doit être rejeté dans la mesure de sa recevabilité. Par conséquent, son auteur sera condamné à payer les frais de la procédure fédérale ( art. 66 al. 1 LTF ) et à verser à l'intimée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