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4A_184/2011 vom 21. Juni 2011</w:t>
      </w:r>
    </w:p>
    <w:p>
      <w:r>
        <w:t>Bundesgericht, 2011-06-21, FR</w:t>
      </w:r>
    </w:p>
    <w:p>
      <w:r>
        <w:rPr>
          <w:b/>
        </w:rPr>
        <w:t xml:space="preserve">Quelle: </w:t>
      </w:r>
      <w:r>
        <w:t>https://mcp.opencaselaw.ch/entscheid/bger_4A_184_2011</w:t>
      </w:r>
    </w:p>
    <w:p>
      <w:r>
        <w:t>FR: TF 4A_184/2011 du 21 juin 2011</w:t>
      </w:r>
    </w:p>
    <w:p>
      <w:r>
        <w:t>IT: TF 4A_184/2011 del 21 giugno 2011</w:t>
      </w:r>
    </w:p>
    <w:p>
      <w:pPr>
        <w:pStyle w:val="Heading2"/>
      </w:pPr>
      <w:r>
        <w:t>Erwägungen</w:t>
      </w:r>
    </w:p>
    <w:p>
      <w:r>
        <w:rPr>
          <w:b/>
        </w:rPr>
        <w:t>E. 1</w:t>
      </w:r>
    </w:p>
    <w:p>
      <w:r>
        <w:t>Au regard de l' art. 92 al. 1 LTF , l'arrêt de la Cour d'appel est une décision incidente concernant la compétence de la juridiction prud'homale; il est susceptible de recours selon cette disposition.</w:t>
      </w:r>
    </w:p>
    <w:p>
      <w:r>
        <w:t>Pour le surplus, le recours est dirigé contre un jugement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 art. 51 al. 1 let . c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A teneur de l'art. 22 de la loi genevoise sur l'organisation judiciaire du 22 novembre 1941 (aOJ gen.), demeurée en vigueur jusqu'au 31 décembre 2010, le Tribunal de première instance connaissait en premier ou dernier ressort, selon la valeur litigieuse, de toutes les contestations en matière civile et commerciale, mobilière et immobilière. Sa compétence était toutefois exclue dans les causes qui ressortissaient au Tribunal de prud'hommes, selon la loi sur la juridiction des prud'hommes du 25 février 1999 (aLJP gen.); il s'agissait surtout, selon l'art. 1er al. 1 let. a aLJP gen., des contestations entre employeurs et salariés pour tout ce qui concernait leurs rapports découlant d'un contrat de travail, au sens du titre dixième du code des obligations. La législation genevoise actuelle, depuis le 1er janvier 2011, continue de délimiter ainsi les compétences respectives des juridictions ordinaire et prud'homale ( art. 86 al. 1 OJ gen.; art. 1er al. 1 let. a LJP gen.).</w:t>
      </w:r>
    </w:p>
    <w:p>
      <w:r>
        <w:t>La défenderesse se réfère aux art. 347 al. 1 et 418a al. 1 CO qui concernent respectivement le contrat d'engagement des voyageurs de commerce et le contrat d'agence, pour soutenir que la Cour d'appel n'a pas élucidé correctement l'objet de la « convention de collaboration » conclue le 12 janvier 2005. Il est vrai que l'application de l'art. 1er al. 1 let. a LJP gen. nécessite de qualifier la relation contractuelle des parties sur la base des règles de droit civil fédéral relatives au contrat de travail, y compris, le cas échéant, les contrats de travail de caractère spécial. Néanmoins, le droit fédéral n'impose pas aux cantons d'attribuer le contentieux du contrat de travail à une juridiction distincte de celles compétentes dans d'autres domaines, et depuis le 1er janvier 2011, leur liberté est consacrée par l' art. 4 al. 1 CPC ; c'est pourquoi les compétences fonctionnelles respectives du Tribunal de première instance et du Tribunal de prud'hommes sont délimitées exclusivement par le droit cantonal, alors même que celui-ci incorpore une définition appartenant au droit fédéral; en conséquence, et pour autant qu'un tribunal soit accessible selon l'organisation judiciaire cantonale, une décision relative à la compétence, telle que celle présentement litigieuse, ne peut pas contrevenir à ce droit-ci ( ATF 128 III 76 consid. 1a p. 80; 125 III 461 consid. 2 p. 463; 115 II 237 consid. 1c p. 241). En particulier, elle ne peut pas contrevenir aux art. 347 al. 1 ou 418a al. 1 CO. En revanche, elle peut éventuellement se révéler incompatible avec la protection contre l'arbitraire conférée par l' art. 9 Cst.</w:t>
      </w:r>
    </w:p>
    <w:p>
      <w:r>
        <w:rPr>
          <w:b/>
        </w:rPr>
        <w:t>E. 3</w:t>
      </w:r>
    </w:p>
    <w:p>
      <w:r>
        <w:t>La défenderesse se plaint d'arbitraire dans la constatation des faits déterminants et dans l'appréciation juridique des faits constatés.</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137 I 58 consid. 4.1.2 p. 62; 136 III 552 consid. 4.2 p. 560).</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136 II 489 consid. 2.8 p. 494).</w:t>
      </w:r>
    </w:p>
    <w:p>
      <w:r>
        <w:rPr>
          <w:b/>
        </w:rPr>
        <w:t>E. 4</w:t>
      </w:r>
    </w:p>
    <w:p>
      <w:r>
        <w:t>La défenderesse se plaint aussi de violation du droit d'être entendu garanti par l' art. 29 al. 2 Cst.</w:t>
      </w:r>
    </w:p>
    <w:p>
      <w:r>
        <w:t>Cette disposition constitutionnelle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133 I 270 consid. 3.1 p. 277; 129 II 497 consid. 2.2 p. 504; 127 I 54 consid. 2b p. 56).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L' art. 29 al. 2 Cst. assure une protection minimum dans une procédure régie au premier chef par le droit cantonal; il ne garantit pas, en principe, le droit de s'exprimer oralement devant l'autorité ( ATF 134 I 140 consid. 5.3 p. 148; 130 II 425 consid. 2.1 p. 428).</w:t>
      </w:r>
    </w:p>
    <w:p>
      <w:r>
        <w:rPr>
          <w:b/>
        </w:rPr>
        <w:t>E. 5</w:t>
      </w:r>
    </w:p>
    <w:p>
      <w:r>
        <w:t>La Cour d'appel a mis en évidence les similitudes, en droit fédéral, du contrat de voyageur de commerce et du contrat d'agence, et les critères à prendre en considération pour les distinguer. Elle a considéré qu'à elles seules, les clauses de la « convention de collaboration » ne permettent pas cette distinction car dans l'ensemble, elles peuvent s'inscrire aussi bien dans l'un ou l'autre de ces contrats. Elle a aussi jugé que le résultat de l'administration des preuves ne lui permettait pas de constater que les parties, au moment de conclure cette convention, eussent la réelle et commune intention de conclure soit un contrat de voyageur de commerce, soit un contrat d'agence, et qu'il était donc nécessaire d'interpréter objectivement les clauses de cette convention, en tenant compte de l'ensemble des circonstances et, en particulier, du comportement des parties au cours de leur relation contractuelle.</w:t>
      </w:r>
    </w:p>
    <w:p>
      <w:r>
        <w:t>La défenderesse reproche à la Cour d'appel de n'avoir pas donné à son administrateur l'occasion de s'exprimer personnellement devant les juges et elle invoque ici l' art. 29 al. 2 Cst. Elle fait valoir que la Cour a d'abord ordonné d'office la comparution personnelle des parties et qu'elle a renoncé à cette mesure d'instruction après que le demandeur n'eut pas donné suite à sa convocation. Elle affirme que l'audition personnelle des parties aurait permis d'élucider leur réelle et commune intention lors de la conclusion de la convention. Cette thèse ne convainc pas car les deux parties avaient déjà adopté et fait connaître, dans le procès, des points de vue inconciliables, et elles n'allaient certainement pas tomber d'accord à l'audience de la Cour d'appel. Cette autorité n'a pas apprécié arbitrairement la situation et elle n'a pas violé le droit d'être entendu de la défenderesse en renonçant à répéter une confrontation qui était déjà intervenue devant le Tribunal de prud'hommes, dont on ne pouvait guère attendre de résultats décisifs et dont la réalisation s'annonçait laborieuse.</w:t>
      </w:r>
    </w:p>
    <w:p>
      <w:r>
        <w:rPr>
          <w:b/>
        </w:rPr>
        <w:t>E. 6</w:t>
      </w:r>
    </w:p>
    <w:p>
      <w:r>
        <w:t>La Cour d'appel juge qu'il existait un rapport de subordination entre les parties, caractéristique du contrat de travail et propre à distinguer ce contrat des autres contrats de prestation de services ( ATF 112 II 41 consid. 1a/aa in fine, consid. 1a/bb p. 46; 134 III 102 consid. 3.1.2 p. 106/107; 130 III 213 consid. 2.1 p. 216), en considération des circonstances ainsi constatées: les clauses de la convention concernant les heures de travail supplémentaires et les vacances annuelles sont insolites dans un contrat d'agence; la durée déterminée et les modalités des vacances ainsi prévues comportaient une contrainte dans l'emploi de son temps par la partie apportant son activité, contrainte qu'un agent n'a pas à subir; une restriction similaire, étrangère au statut d'un agent, résultait en outre de l'obligation d'être présent chaque lundi après-midi au siège de la société pour une réunion consacrée à l'encadrement des collaborateurs; ceux-ci recevaient des injonctions concernant la performance à atteindre; enfin, la société a pris en charge des frais de représentation, de déplacement et de téléphone, et elle a prélevé des déductions sociales sur la rémunération du demandeur.</w:t>
      </w:r>
    </w:p>
    <w:p>
      <w:r>
        <w:t>La défenderesse se plaint là aussi d'arbitraire. Elle fait notamment valoir qu'elle a formellement contesté l'authenticité d'un procès-verbal de réunion mentionné par la Cour. Ce document n'a toutefois qu'un rôle marginal dans l'appréciation de cette autorité et de toute évidence, les autres preuves recueillies suffisent à fonder cette même appréciation. Pour le surplus, la défenderesse ne conteste sérieusement ni les faits constatés ni la qualification juridique du contrat. Elle développe ses propres opinions sur les éléments discutés par la Cour et on ne trouve pas sur quel point elle lui reproche réellement, sinon par de simples dénégations ou protestations, d'avoir commis une erreur indéniable ou de s'être livrée à une appréciation absolument insoutenable. Dans une large mesure, le grief d'arbitraire n'est donc pas motivé conformément aux exigences consacrées par la jurisprudence.</w:t>
      </w:r>
    </w:p>
    <w:p>
      <w:r>
        <w:t>Il convient de souligner que les autorités précédentes auraient aussi pu, sans arbitraire et aux fins de se prononcer sur leur compétence au regard de l'art. 1er al. 1 let. a aLJP gen., apprécier la nature juridique du contrat déjà et seulement sur la base des allégués du demandeur, préalablement à toute mesure probatoire ( ATF 137 III 32 consid. 2.2 et 2.3 p. 34).</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l'adverse partie peut prétendre par suite de sa réponse à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