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183/2011 vom 16. Juni 2011</w:t>
      </w:r>
    </w:p>
    <w:p>
      <w:r>
        <w:t>Bundesgericht, 2011-06-16, FR</w:t>
      </w:r>
    </w:p>
    <w:p>
      <w:r>
        <w:rPr>
          <w:b/>
        </w:rPr>
        <w:t xml:space="preserve">Quelle: </w:t>
      </w:r>
      <w:r>
        <w:t>https://mcp.opencaselaw.ch/entscheid/bger_4A_183_2011</w:t>
      </w:r>
    </w:p>
    <w:p>
      <w:r>
        <w:t>FR: TF 4A 183/2011 du 16 juin 2011</w:t>
      </w:r>
    </w:p>
    <w:p>
      <w:r>
        <w:t>IT: TF 4A 183/2011 del 16 giugno 2011</w:t>
      </w:r>
    </w:p>
    <w:p>
      <w:pPr>
        <w:pStyle w:val="Heading2"/>
      </w:pPr>
      <w:r>
        <w:t>Regeste</w:t>
      </w:r>
    </w:p>
    <w:p>
      <w:r>
        <w:t>contrat d'entreprise | Droit des contrats</w:t>
      </w:r>
    </w:p>
    <w:p>
      <w:pPr>
        <w:pStyle w:val="Heading2"/>
      </w:pPr>
      <w:r>
        <w:t>Erwägungen</w:t>
      </w:r>
    </w:p>
    <w:p>
      <w:r>
        <w:rPr>
          <w:b/>
        </w:rPr>
        <w:t>E. 1.1</w:t>
      </w:r>
    </w:p>
    <w:p>
      <w:r>
        <w:t>S'agissant d'une affaire pécuniaire qui ne porte ni sur le droit du travail ni sur le droit du bail à loyer, le recours en matière civile n'est recevable que si la valeur litigieuse - déterminée selon le capital réclamé dans les dernières conclusions prises devant l'autorité précédente ( art. 51 al. 1 let. a et al. 3 LTF ) - s'élève au moins à 30'000 fr. ( art. 74 al. 1 let. b LTF ). Devant l'autorité précédente, le recourant a conclu à libération en ce sens qu'il demandait l'annulation, voire, à titre subsidiaire, la réforme du jugement précédent, qui le condamnait à verser à l'intimé la somme de 22'000 fr. avec intérêts, à titre de solde dû par le maître à l'entrepreneur pour les travaux effectués, et ordonnait l'inscription définitive d'une hypothèque légale des artisans et entrepreneurs à due concurrence. Il a également conclu à l'admission de la conclusion reconventionnelle qui visait à obtenir de l'intimé le paiement d'un montant de 15'841 fr.80, avec intérêts, à titre d'indemnisation pour les défauts de l'ouvrage. Aux termes de l' art. 53 LTF ,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 Contrairement à ce que soutient le recourant, cette disposition ne prévoit pas l'addition des deux demandes, principale et reconventionnelle, mais consacre la recevabilité du recours par attraction à l'égard de la demande qui n'atteint pas la valeur litigieuse minimale prescrite à l' art. 74 al. 1 let. b LTF pour les affaires pécuniaires. L' art. 53 al. 2 LTF exige cependant que l'une au moins des demandes atteigne la valeur litigieuse minimale requise (arrêt 4A_364/2008 du 12 décembre 2008 consid. 1.3 et les références). En l'occurrence, au regard des conclusions encore litigieuses devant l'autorité cantonale précédant le Tribunal fédéral, aucune des deux demandes, principale et reconventionnelle, n'atteint à elle seule le seuil de 30'000 fr. ( art. 74 al. 1 let. b LTF ), étant rappelé qu'il est de jurisprudence qu'en matière de droit de gage immobilier, tel l'hypothèque légale des artisans et entrepreneurs des art. 837 ss CC , la valeur du gage n'est pas additionnée à la créance qu'il garantit, pour autant que le montant de la créance soit inférieur à la valeur de l'objet mis en gage ( ATF 106 II 22 consid. 1 p. 24 et l'arrêt cité; arrêt 4C.95/2003 du 25 août 2003 consid. 2), ce qui est indubitablement le cas en l'espèce. Il s'ensuit que le recours en matière civile n'est recevable pour aucune de ces deux demandes. L'estimation manifestement erronée de la valeur litigieuse faite par l'autorité cantonale, qui l'a considérée comme supérieure à 30'000 fr., est par ailleurs sans incidence, puisque le Tribunal fédéral n'est pas lié par une telle estimation ( ATF 136 III 60 consid. 1.1.1 p. 62). Le présent recours ne posant en rien une question juridique de principe au sens de l' art. 74 al. 2 let. a LTF , le recours en matière civile doit être déclaré irrecevable, à défaut d'atteindre la valeur litigieuse exigée par l' art. 74 al. 1 let. b LTF . Cela étant, il convient d'examiner le recours constitutionnel, motivé à titre subsidiaire par le recourant dans la même écriture (cf. ch. 18 et 19 du recours).</w:t>
      </w:r>
    </w:p>
    <w:p>
      <w:r>
        <w:rPr>
          <w:b/>
        </w:rPr>
        <w:t>E. 1.2</w:t>
      </w:r>
    </w:p>
    <w:p>
      <w:r>
        <w:t>Le recours subsidiaire ne peut être interjeté que pour violation des droits constitutionnels ( art. 116 LTF ). Lorsque de tels griefs sont soulevés, l' art. 106 al. 2 LTF (par renvoi de l' art. 117 LTF ) prévoit pour la motivation du recours des exigences qualifiées ( ATF 134 II 349 consid. 3 p. 352; 134 I 83 consid. 3.2 p. 88 et les arrêts cités). Le recourant doit ainsi indiquer quel droit constitutionnel aurait été violé et démontrer, par une argumentation circonstanciée, en quoi consiste cette violation ( ATF 136 I 332 consid. 2.1 p. 334; 134 V 138 consid. 2.1 p. 143; 133 III 439 consid. 3.2 p. 444). Ainsi, s'il entend se prévaloir d'une application arbitraire ( art. 9 Cst. ) du droit fédéral, il doit désigner avec précision quelle est la norme fédérale dont il se prévaut.</w:t>
      </w:r>
    </w:p>
    <w:p>
      <w:r>
        <w:rPr>
          <w:b/>
        </w:rPr>
        <w:t>E. 1.3</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 Aucun fait nouveau ou preuve nouvelle ne peut être présenté à moins de résulter de la décision attaquée ( art. 117 et 99 al. 1 LTF ).</w:t>
      </w:r>
    </w:p>
    <w:p>
      <w:r>
        <w:rPr>
          <w:b/>
        </w:rPr>
        <w:t>E. 1.4</w:t>
      </w:r>
    </w:p>
    <w:p>
      <w:r>
        <w:t>Le Tribunal fédéral ne peut aller au-delà des conclusions des parties ( art. 117 et 107 al. 1 LTF ). Toute conclusion nouvelle est irrecevable ( art. 117 et 99 al. 2 LTF ). Si le Tribunal fédéral admet le recours, il peut en principe statuer lui-même sur le fond ( art. 117 et 107 al. 2 LTF ). La partie recourante ne peut dès lors se borner à demander l'annulation de la décision attaquée, mais elle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et l'arrêt cité). S'agissant du recours constitutionnel, le recourant ne prend aucune conclusion sur le fond, se contentant de conclure à l'annulation de la décision et au renvoi de la cause devant l'autorité cantonale. Cette conclusion cassatoire ne saurait en l'état être sanctionnée, dès lors que l'admission du grief portant sur le refus d'ordonner une seconde expertise impliquerait nécessairement le renvoi de la cause devant l'autorité cantonale. Il ressort par ailleurs des conclusions formulées à l'appui du recours en matière civile que le recourant entend être libéré de toute condamnation pécuniaire à l'égard de l'intimé et qu'il revendique le paiement d'un certain montant, en capital et intérêts, tout en requérant la radiation de l'inscription de l'hypothèque légale des artisans et entrepreneurs. La conclusion cassatoire prise à l'appui du recours constitutionnel subsidiaire ne fait donc pas obstacle à l'entrée en matière sur le recours.</w:t>
      </w:r>
    </w:p>
    <w:p>
      <w:r>
        <w:rPr>
          <w:b/>
        </w:rPr>
        <w:t>E. 2</w:t>
      </w:r>
    </w:p>
    <w:p>
      <w:r>
        <w:t>En lien avec le refus d'ordonner une seconde expertise, le recourant dénonce une application arbitraire du principe de la charge de la preuve ( art. 8 CC ). Il invoque également la violation du droit constitutionnel à un procès équitable et la violation du droit d'être entendu. 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L' art. 8 CC confère à celui qui supporte le fardeau de la preuve le droit d'offrir des moyens de preuve et d'obtenir qu'ils soient administrés, s'ils ont été présentés à temps et selon les formes prévues par la procédure cantonale ( ATF 129 III 18 consid. 2.6 p. 24 s.). L' art. 8 CC ne permet toutefois pas de remettre en question l'appréciation des preuves du juge cantonal, ni n'exclut l'appréciation anticipée des preuves ou une administration limitée des preuves lorsque celle-ci emporte la conviction du juge quant à l'exactitude d'une allégation ( ATF 129 III 18 consid. 2.6 p. 25; 127 III 519 consid. 2a p. 522; 126 III 315 consid. 4a p. 317). Il ne permet pas non plus de critiquer l'appréciation du juge quant à l'aptitude d'un moyen de preuve à établir un fait pertinent ( ATF 122 III 219 consid. 3c p. 223 in fine). Selon la jurisprudence, l'arbitraire, prohibé par l' art. 9 Cst. , ne résulte pas du seul fait qu'une autre solution pourrait rentrer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Le Tribunal cantonal a confirmé le rejet, par les premiers juges, de la requête de seconde expertise du recourant, motif pris qu'un deuxième expert serait confronté aux mêmes problèmes que le premier s'agissant des constatations à effectuer sur place et de l'appréciation de la situation en fonction des entreprises ayant oeuvré successivement sur le chantier. L'autorité cantonale a indiqué que l'administration du moyen de preuve requis ne pourrait rien apporter de plus à la résolution du litige. Elle a en outre ajouté que l'expertise judiciaire n'apparaît ni peu claire, ni insuffisante. Il s'agit là d'une question d'appréciation des preuves et non pas de répartition du fardeau de la preuve. On ne se trouve pas en présence d'un cas d'échec de la preuve et la règle sur le fardeau de la preuve ne peut plus jouer aucun rôle ( ATF 132 III 626 consid. 3.4 p. 634; 131 III 646 consid. 2.1 p. 649). C'est donc en vain que le recourant fait état d'une application arbitraire de l' art. 8 CC . En droit de procédure cantonal vaudois - applicable au présent litige -, l'administration d'une seconde expertise était régie par l'art. 239 aCPC/VD. Le recourant ne dénonce aucune violation insoutenable de cette disposition, qu'il ne cite même pas à l'appui de son argumentation. Aucune démonstration d'une application arbitraire de cette disposition par les juges cantonaux, qui disposent en la matière d'un large pouvoir d'appréciation (POUDRET/HALDY/TAPPY, Procédure civile vaudoise, 3e éd. 2002, no 1 ad art. 239 CPC ), n'est entreprise par le recourant. Cela étant, il n'y a pas lieu d'y revenir ( art. 106 al. 2 LTF par renvoi de l' art. 117 LTF ). L'autorité cantonale a clairement indiqué pour quelle raison il ne se justifiait pas d'ordonner une seconde expertise et a par là rempli son devoir de motiver sa décision, déduit du droit d'être entendu consacré à l' art. 29 al. 2 Cst. On ne décèle dès lors aucune violation de ce droit, contrairement à ce que soutient le recourant. Quant au grief de violation du droit à un procès équitable, il ne fait l'objet d'aucune motivation de la part du recourant (cf. ch. 1 et 18 du recours), ce qui ne peut que conduire à son irrecevabilité ( art. 106 al. 2 LTF par renvoi de l' art. 117 LTF ). Le grief est rejeté dans la mesure de sa recevabilité.</w:t>
      </w:r>
    </w:p>
    <w:p>
      <w:r>
        <w:rPr>
          <w:b/>
        </w:rPr>
        <w:t>E. 3.1</w:t>
      </w:r>
    </w:p>
    <w:p>
      <w:r>
        <w:t>Les juges cantonaux ont considéré que la résiliation du contrat telle qu'elle résultait de la manifestation de volonté du recourant relevait de l' art. 377 CO , qui dispose que tant que l'ouvrage n'est pas terminé, le maître peut toujours se départir du contrat, en payant le travail fait et en indemnisant complètement l'entrepreneur. Les magistrats cantonaux ont arrêté que les travaux restant à accomplir au départ de l'intimé représentaient un montant de 5'000 francs. Ils ont retranché ce montant de la somme contractuellement convenue (85'000 fr.), augmentée d'une plus-value, non contestée, de 5'000 francs. Après déduction des acomptes versés, à raison de 63'000 fr., ils ont obtenu le montant de 22'000 fr. et confirmé la condamnation du recourant à devoir s'acquitter de la somme en question, comme jugé en première instance. Il n'est pas contesté que les parties étaient contractuellement convenues du paiement d'un prix forfaitaire de 85'000 fr. pour l'ensemble des travaux à effectuer et que ces derniers n'ont pas été exécutés dans leur totalité.</w:t>
      </w:r>
    </w:p>
    <w:p>
      <w:r>
        <w:rPr>
          <w:b/>
        </w:rPr>
        <w:t>E. 3.2</w:t>
      </w:r>
    </w:p>
    <w:p>
      <w:r>
        <w:t>Le recourant soutient que le Tribunal cantonal vaudois a arbitrairement jugé qu'il incombait au maître (lui-même) d'établir l'état du chantier au départ de l'entrepreneur (l'intimé) alors que la preuve incombe à qui veut faire valoir un droit et reproche, en conséquence, à l'instance cantonale d'avoir arbitrairement admis la demande principale quand bien même le demandeur n'a pas prouvé les faits allégués. Il se plaint d'une application arbitraire de l' art. 8 CC , d'une violation du droit à un procès équitable et du droit d'être entendu. Il résulte de l' art. 8 CC que la partie demanderesse doit prouver les faits qui fondent sa prétention, tandis que sa partie adverse doit prouver les faits qui entraînent l'extinction ou la perte du droit ( ATF 130 III 321 consid. 3.1 p. 323). Il appartient ainsi à l'entrepreneur (demandeur) d'établir la valeur des travaux effectués. En revanche, le fardeau de la preuve incombe au maître qui, à son obligation de payer le prix, oppose la réparation du dommage résultant de prétendus défauts. Le premier juge - entièrement confirmé en instance de recours - a expressément relevé qu'aucun constat n'a été établi au départ de l'entrepreneur. Il en a déduit qu'il n'était pas en mesure de déterminer quels étaient, à ce moment-là, les travaux déjà exécutés et ceux qui restaient à accomplir conformément au contrat. Le magistrat a également relevé qu'il appartenait au maître (défendeur) d'établir un constat des travaux qu'il jugeait inachevés et/ou défectueux, et dont il se prévalait devant l'autorité saisie. L'existence d'une telle preuve a été niée. Cela étant, les autorités cantonales ont fondé leur appréciation sur les dires de l'entrepreneur, qui, en cours de procédure, a admis que les travaux restant à accomplir au départ du chantier représentaient un montant de 5'000 francs. Sur cette base, les magistrats ont chiffré le montant des travaux accomplis à 80'000 fr., en déduisant les 5'000 fr. susmentionnés du forfait convenu (85'000 fr.). Cette appréciation relève de l'établissement des faits - un fait admis étant considéré comme établi (FABIENNE HOHL, Procédure civile, T. 1, 2001, n. 950, p. 183) - et non pas de l' art. 8 CC . Il n'y a dès lors plus de place pour la violation dénoncée de la répartition du fardeau de la preuve. Le moyen pris d'une violation arbitraire de l' art. 8 CC est infondé.</w:t>
      </w:r>
    </w:p>
    <w:p>
      <w:r>
        <w:rPr>
          <w:b/>
        </w:rPr>
        <w:t>E. 3.3</w:t>
      </w:r>
    </w:p>
    <w:p>
      <w:r>
        <w:t>Le grief de violation du droit à un procès équitable et du droit d'être entendu ne font l'objet d'aucune motivation. Il ne se justifie donc pas d'entrer en matière sur ces questions ( art. 106 al. 2 LTF par renvoi de l' art. 117 LTF ).</w:t>
      </w:r>
    </w:p>
    <w:p>
      <w:r>
        <w:rPr>
          <w:b/>
        </w:rPr>
        <w:t>E. 4</w:t>
      </w:r>
    </w:p>
    <w:p>
      <w:r>
        <w:t>En conclusion, le recours constitutionnel subsidiaire doit être rejeté dans la mesure de sa recevabilité. Compte tenu de l'issue du litige, le recourant, qui succombe, doit acquitter l'émolument judiciaire et les dépens à allouer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