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4A_183/2010 vom 27. Mai 2010</w:t>
      </w:r>
    </w:p>
    <w:p>
      <w:r>
        <w:t>Bundesgericht, 2010-05-27, FR</w:t>
      </w:r>
    </w:p>
    <w:p>
      <w:r>
        <w:rPr>
          <w:b/>
        </w:rPr>
        <w:t xml:space="preserve">Quelle: </w:t>
      </w:r>
      <w:r>
        <w:t>https://mcp.opencaselaw.ch/entscheid/bger_4A_183_2010</w:t>
      </w:r>
    </w:p>
    <w:p>
      <w:r>
        <w:t>FR: TF 4A_183/2010 du 27 mai 2010</w:t>
      </w:r>
    </w:p>
    <w:p>
      <w:r>
        <w:t>IT: TF 4A_183/2010 del 27 maggio 2010</w:t>
      </w:r>
    </w:p>
    <w:p>
      <w:pPr>
        <w:pStyle w:val="Heading2"/>
      </w:pPr>
      <w:r>
        <w:t>Erwägungen</w:t>
      </w:r>
    </w:p>
    <w:p>
      <w:r>
        <w:rPr>
          <w:b/>
        </w:rPr>
        <w:t>E. 1.1</w:t>
      </w:r>
    </w:p>
    <w:p>
      <w:r>
        <w:t>Interjeté par la partie qui a succombé partiellement dans ses conclusions en paiement ( art. 76 al. 1 LTF ) et dirigé contre un jugement final ( art. 90 LTF ) rendu en matière civile ( art. 72 al. 1 LTF ) par une autorité cantonale de dernière instance ( art. 75 et 130 al. 2 LTF ) dans une affaire pécuniaire dont la valeur litigieuse atteint le seuil de 30'000 fr. ( art. 74 al. 1 let. b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Si la partie recourante invoque l'arbitraire dans l'appréciation des preuves et l'établissement des faits, elle doit montrer, par une argumentation précise en se référant si possible aux pièces du dossier, que la décision cantonale est insoutenable (arrêt 4A_621/2009 du 25 février 2010 consid. 1.3). Encore faut-il que la correction demandée soit susceptible d'influer sur le sort de la cause ( art. 97 al. 1 LTF ).</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cour cantonale rappelle que, dans le contrat initial, le coût de l'installation du chantier a été arrêté en bloc à 100'000 fr. (prix global au sens de l'art. 42 al. 3 SIA 118). Elle expose que, selon les experts entendus au cours de l'instruction, "le forestier avait accepté que l'accès se fasse à travers la forêt et qu'il était par la suite revenu sur sa décision" et que "cette circonstance avait compliqué l'installation du chantier". La cour précédente indique que, "si l'on en croit les experts, il y aurait donc eu accord au sens de l'art. 59 al. 2 SIA 118 sur une rémunération supplémentaire [de 50'000 fr.] due en raison des circonstances extraordinaires". Elle s'écarte néanmoins de cette conclusion, considérant que l'entrepreneur n'a pas établi les circonstances justifiant un supplément au prix global de 100'000 fr. L'autorité précédente précise qu'il appartenait à l'entrepreneur de questionner W.________ (l'entreprise W.________ ayant également participé au chantier), comme cela a d'ailleurs été suggéré par l'un des experts, afin de démontrer la nécessité de modifier l'accès au chantier. Considérant que l'existence d'un accord sur le montant du supplément n'est pas d'avantage démontré, la cour cantonale conclut que les conditions d'application de l'art. 59 SIA 118 ne sont pas remplies en l'espèce.</w:t>
      </w:r>
    </w:p>
    <w:p>
      <w:r>
        <w:t>La recourante adresse divers reproches à l'autorité cantonale quant à "l'établissement inexact des faits". Elle affirme en particulier que V.________ SA et A.________, tous deux investis du pouvoir de commander des ouvrages, l'ont chargée d'exécuter en régie des travaux supplémentaires, notamment ceux portant sur les déplacements de l'installation de chantier, et que c'est donc à tort que la cour cantonale a considéré comme non établies les circonstances justifiant un supplément de 50'000 fr. Elle soutient aussi, en rappelant les conclusions des experts, que ce montant a bien été convenu par les parties.</w:t>
      </w:r>
    </w:p>
    <w:p>
      <w:r>
        <w:rPr>
          <w:b/>
        </w:rPr>
        <w:t>E. 2.2</w:t>
      </w:r>
    </w:p>
    <w:p>
      <w:r>
        <w:t>En l'espèce, une inexactitude manifeste sur un fait déterminant n'apparaît pas, de sorte qu'une rectification d'office sur la base de l' art. 105 al. 2 LTF n'entre pas en considération (cf. ATF 133 IV 286 consid. 6.2 p. 288).</w:t>
      </w:r>
    </w:p>
    <w:p>
      <w:r>
        <w:t>La recourante n'invoque pas le grief de l'arbitraire dans l'établissement des faits ( art. 9 Cst. ); dans la partie de son mémoire "Sur l'établissement inexact des faits" (p. 10 s.), elle se limite à montrer son désaccord avec l'appréciation de la cour cantonale. Elle n'indique pas que l'appréciation de cette dernière serait "insoutenable" ou que les faits auraient été établis de façon "manifestement inexacte" (ce qui correspond à la notion d'arbitraire [cf. supra consid. 1.3]). La recourante ne renvoie en outre pas aux pièces du dossier (sur l'exigence, cf. supra consid. 1.3), alors même que, selon elle, ses affirmations ressortent "précisément des pièces déposées". Enfin, pour appuyer ses propos, elle se réfère simplement aux conclusions des experts; elle ne prétend toutefois pas que les juges cantonaux seraient tombés dans l'arbitraire en ne suivant pas les conclusions de ceux-ci (cf. à ce sujet: arrêt 4P.329/2005 du 21 février 2006 consid. 3.2) et ne présente aucune motivation sous cet angle. Le grief, qui ne répond pas aux exigences strictes des art. 105 al. 2 et 106 al. 2 LTF, est dès lors irrecevable.</w:t>
      </w:r>
    </w:p>
    <w:p>
      <w:r>
        <w:t>On relèvera d'ailleurs que les explications données par la recourante, concernant principalement V.________ SA et A.________ et leur pouvoir de commander des ouvrages supplémentaires, n'ont aucune incidence sur le sort de la cause ( art. 97 al. 1 LTF ). Si elles permettent de comprendre que les représentants du maître de l'ouvrage ont parfois commandés certains travaux supplémentaires (ce qui n'est d'ailleurs pas contesté), elles n'indiquent pas qu'ils auraient eux-mêmes ordonné le déplacement du chantier.</w:t>
      </w:r>
    </w:p>
    <w:p>
      <w:r>
        <w:t>L'autorité précédente n'ayant pas sombré dans l'arbitraire en appréciant les preuves, c'est sur la base des faits retenus dans l'arrêt attaqué ( art. 105 al. 1 LTF ) que l'analyse juridique doit être entreprise.</w:t>
      </w:r>
    </w:p>
    <w:p>
      <w:r>
        <w:rPr>
          <w:b/>
        </w:rPr>
        <w:t>E. 3.1</w:t>
      </w:r>
    </w:p>
    <w:p>
      <w:r>
        <w:t>Invoquant une violation de l' art. 373 CO , la recourante fait grief à la cour cantonale de ne pas avoir retenu qu'un accord a été passé entre les parties, à tout le moins tacitement ou par actes concluants, sur le principe du déplacement du chantier et le montant des frais supplémentaires y relatifs (50'000 fr.). Elle prétend ainsi à l'existence d'une modification de commande contractuelle (sur la notion, cf. entre autres auteurs: Peter Gauch, Le contrat d'entreprise [adaptation française de Benoît Carron], 1999, n. 770 s. p. 229 s.).</w:t>
      </w:r>
    </w:p>
    <w:p>
      <w:r>
        <w:rPr>
          <w:b/>
        </w:rPr>
        <w:t>E. 3.2</w:t>
      </w:r>
    </w:p>
    <w:p>
      <w:r>
        <w:t>Le caractère ferme du prix forfaitaire (en l'occurrence, le prix de 100'000 fr. prévu initialement pour l'installation du chantier) n'est pas absolu. L' art. 373 al. 2 CO prévoit une première exception lorsque l'exécution de l'ouvrage est empêchée ou rendue difficile à l'excès par des circonstances extraordinaires, impossibles à prévoir, ou exclues par les prévisions des parties (cf. infra consid. 3.5).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 ATF 116 II 315 consid. 3 p. 315 s.; arrêt 4C.23/2004 du 14 décembre 2004 consid. 4.1).</w:t>
      </w:r>
    </w:p>
    <w:p>
      <w:r>
        <w:t>Les modifications de commande donnent en principe droit à une augmentation du prix en cas de prestations supplémentaires de l'entrepreneur. La modification de commande contractuelle - invoquée par la recourante - n'est pas réglée par la norme SIA 118. Il n'a pas été établi que les parties se sont mises d'accord, ne serait-ce que tacitement, pour soumettre la rémunération des prestations supplémentaires sur la base des dispositions relatives à la modification de commande unilatérale (art. 84 ss SIA 118). La recourante ne tente d'ailleurs pas de soutenir qu'un tel accord serait intervenu entre les parties. En conséquence, on ne peut donc appliquer les articles y relatifs de la norme SIA 118 (pour les détails: Gauch, op. cit., n. 807 p. 238); la rémunération des prestations supplémentaires doit ainsi être calculée sur la base de l' art. 374 CO (arrêt 4C.23/2004 du 14 décembre 2004 consid. 4.1 et les nombreuses références). Selon cette disposition, si le prix n'a pas été fixé entre les parties, il doit être déterminé d'après la valeur du travail et les dépenses de l'entrepreneur. Le critère déterminant est celui des coûts effectifs qu'un entrepreneur diligent aurait engagés pour une exécution soignée de l'ouvrage ( ATF 96 II 58 consid. 2 p. 61). Autrement dit, seuls les coûts nécessaires à cette exécution sont pris en compte (François Chaix, in Commentaire romand, CO I, nos 9, 10 et 15 ad art. 374 CO ; Gaudenz G. Zindel/Urs Pulver, Basler Kommentar, OR I, 4e éd. 2008, no 13 ad art. 374 CO ; Gauch, op. cit., n. 964 s. p. 283 s.). Il appartient à l'entrepreneur de déterminer le montant des coûts effectifs, donc également de démontrer la nécessité des frais engagés ( art. 8 CC ; Chaix, op. cit., no 15 ad art. 374 CO ; cf. Zindel/Pulver, op. cit., no 18 ad art. 374 CO ).</w:t>
      </w:r>
    </w:p>
    <w:p>
      <w:r>
        <w:rPr>
          <w:b/>
        </w:rPr>
        <w:t>E. 3.3</w:t>
      </w:r>
    </w:p>
    <w:p>
      <w:r>
        <w:t>En l'espèce, il n'est pas utile de rechercher si, sur le principe, un accord est véritablement intervenu entre les parties. L'existence d'un accord sur le montant du supplément (50'000 fr.) n'a, elle, pas été établie. Or, il ressort des faits constatés par l'autorité cantonale - qui lient le Tribunal fédéral ( art. 105 al. 1 LTF ) - que la recourante n'a pas réussi à prouver qu'il était nécessaire de modifier l'accès au chantier (cf. supra consid. 2.1). Elle n'a donc pas démontré la nécessité d'engager les frais supplémentaires dont elle requiert aujourd'hui le paiement.</w:t>
      </w:r>
    </w:p>
    <w:p>
      <w:r>
        <w:t>Le grief est mal fondé.</w:t>
      </w:r>
    </w:p>
    <w:p>
      <w:r>
        <w:rPr>
          <w:b/>
        </w:rPr>
        <w:t>E. 3.4</w:t>
      </w:r>
    </w:p>
    <w:p>
      <w:r>
        <w:t>Dans un deuxième moyen intitulé "En cas de faute du maître", la recourante reproche à la cour cantonale de ne pas avoir retenu que les conditions d'exécution ont été modifiées en raison d'un fait dont répond le maître (le changement d'avis du forestier). L'argumentation de la recourante repose sur des fondements différents et se révèle peu claire. La recourante présente ses arguments dans la partie de son mémoire faisant état d'une violation de l' art. 373 CO (traitant à son alinéa 2, des circonstances extraordinaires justifiant notamment une augmentation du prix; cf. infra consid. 3.5); elle cite l'art. 58 al. 2 SIA (sur les conséquences de la faute du maître de l'ouvrage, en particulier lorsqu'il donne, dans les documents de soumission, des indications inexactes sur la nature du sol), fait référence à l' art. 365 CO (obligations de l'entrepreneur relativement à la matière fournie) et parle d'un fait imputable au maître. De façon générale, on comprend toutefois que la recourante tente de démontrer qu'elle ne saurait supporter les conséquences financières du revirement du forestier, ce fait étant imputable au maître. Le paiement en sa faveur du montant de 50'000 fr. serait justifié, en raison de ce fait.</w:t>
      </w:r>
    </w:p>
    <w:p>
      <w:r>
        <w:t>Dans son argumentation, la recourante oublie que la seule existence d'un fait imputable au maître ne suffit pas à fonder une rémunération supplémentaire. Il appartient encore à l'entrepreneur de prouver ( art. 8 CC ) que ce fait est la cause des frais supplémentaires facturés au maître de l'ouvrage (lien de causalité). En l'espèce, il ressort des constatations cantonales ( art. 105 al. 1 LTF ) que l'entrepreneur n'a pas réussi à démontrer que le revirement du forestier a rendu nécessaire la modification de l'accès au chantier et ainsi généré les frais en question. Le grief est donc infondé.</w:t>
      </w:r>
    </w:p>
    <w:p>
      <w:r>
        <w:rPr>
          <w:b/>
        </w:rPr>
        <w:t>E. 3.5</w:t>
      </w:r>
    </w:p>
    <w:p>
      <w:r>
        <w:t>Enfin, la recourante revient à la charge en soutenant que les nouvelles mesures décidées par une autorité constituent des circonstances extraordinaires au sens de l'art. 59 SIA 118 (et de l' art. 373 al. 2 CO ) et qu'elles justifient donc également le versement en sa faveur de la somme de 50'000 fr. L'argumentation - qui est par ailleurs en contradiction avec le moyen précédent tiré de la "faute" du maître (cf. arrêt 4C.137/1995 du 26 octobre 1995 consid. 2b) - tombe à faux. D'une part, la cour cantonale a expliqué que les experts avaient fait état d'un forestier qui, après avoir accepté l'accès au chantier à travers la forêt, est revenu par la suite sur sa décision. Le jugement n'indique pas que le forestier en question aurait donné une autorisation en tant que membre d'une autorité compétente. D'autre part, à considérer que l'on est en présence d'une circonstance extraordinaire au sens de l' art. 373 al. 2 CO , il appartiendrait encore à l'entrepreneur de démontrer que cette circonstance a causé les frais supplémentaires prétendument générés par la modification de l'accès au chantier (sur le fardeau de la preuve: Gauch, op. cit., n. 1108 p. 318; Chaix, op. cit., no 37 ad art. 373 CO ; Zindel/Pulver, op. cit., no 40 ad art. 373 CO ). En l'espèce, l'entrepreneur n'a pas apporté cette preuve (cf. supra consid. 3.4) et le moyen doit être déclaré mal fondé.</w:t>
      </w:r>
    </w:p>
    <w:p>
      <w:r>
        <w:rPr>
          <w:b/>
        </w:rPr>
        <w:t>E. 4.1</w:t>
      </w:r>
    </w:p>
    <w:p>
      <w:r>
        <w:t>La recourante invoque, subsidiairement, une violation de l' art. 38 CO . Elle fonde son moyen sur un état de fait émaillé d'affirmations qui ne trouvent aucun appui dans les constatations de l'arrêt attaqué, voire qui sont en contradiction avec ces constatations. Dans la mesure où elle tente de substituer sa propre appréciation des preuves à celle de l'autorité cantonale, son grief est irrecevable.</w:t>
      </w:r>
    </w:p>
    <w:p>
      <w:r>
        <w:t>A bien comprendre l'argumentation de la recourante, celle-ci semble soutenir que le maître de l'ouvrage aurait ratifié, à tout le moins tacitement, la facture approuvée par le surveillant du chantier, B.________ (celui-ci ne disposant pas de la compétence d'engager le maître).</w:t>
      </w:r>
    </w:p>
    <w:p>
      <w:r>
        <w:rPr>
          <w:b/>
        </w:rPr>
        <w:t>E. 4.2</w:t>
      </w:r>
    </w:p>
    <w:p>
      <w:r>
        <w:t>Selon l' art. 38 al. 1 CO , lorsqu'une personne contracte sans pouvoirs au nom d'un tiers (en l'occurrence le maître de l'ouvrage ou ses représentants), celui-ci ne devient créancier ou débiteur que s'il ratifie le contrat.</w:t>
      </w:r>
    </w:p>
    <w:p>
      <w:r>
        <w:t>La ratification d'un contrat selon l' art. 38 CO est une manifestation de volonté. Comme toute manifestation de volonté non soumise à une forme spéciale, la ratification peut être implicite, résulter d'actes concluants, voire de la passivité ou du silence du tiers pour lequel on a contracté. Une ratification peut intervenir tacitement lorsque la bonne foi exige que la partie en cause manifeste son désaccord si elle n'entend pas être liée; la question nécessite toujours une appréciation de l'ensemble des circonstances ( ATF 93 II 302 consid. 4 p. 307 s.; arrêt 4C.335/1999 du 25 août 2000 consid. 4a.cc).</w:t>
      </w:r>
    </w:p>
    <w:p>
      <w:r>
        <w:rPr>
          <w:b/>
        </w:rPr>
        <w:t>E. 4.3</w:t>
      </w:r>
    </w:p>
    <w:p>
      <w:r>
        <w:t>Il ressort des constatations cantonales - qui lient le Tribunal fédéral ( art. 105 al. 1 LTF ) - que, dans son décompte du 20 décembre 2005, la recourante a réduit sa facture (relative à la maçonnerie) à 353'802 fr hors TVA, "ce qui prouve que [la recourante] était consciente que le supplément requis pour le complément d'installation n'était pas admis" (jugement cantonal, p. 19). A l'évidence, la recourante, qui ne conteste pas l'appréciation des preuves entreprise par l'autorité cantonale sous l'angle de l'arbitraire ( art. 9 Cst ), ne saurait prétendre que l'intimé n'a pas manifesté son désaccord et en conclure que la ratification est ainsi intervenue; non seulement il a été constaté ( art. 105 al. 1 LTF ) que le supplément d'installation n'a pas été admis par le maître de l'ouvrage, mais la recourante en avait, toujours selon les constatations cantonales, parfaitement conscience. Le moyen est dès lors mal fondé.</w:t>
      </w:r>
    </w:p>
    <w:p>
      <w:r>
        <w:rPr>
          <w:b/>
        </w:rPr>
        <w:t>E. 5</w:t>
      </w:r>
    </w:p>
    <w:p>
      <w:r>
        <w:t>Le recours est rejeté dans la mesure de sa recevabilité.</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