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4A_182/2018 vom 21. November 2018</w:t>
      </w:r>
    </w:p>
    <w:p>
      <w:r>
        <w:t>Bundesgericht, 2018-11-21, FR</w:t>
      </w:r>
    </w:p>
    <w:p>
      <w:r>
        <w:rPr>
          <w:b/>
        </w:rPr>
        <w:t xml:space="preserve">Quelle: </w:t>
      </w:r>
      <w:r>
        <w:t>https://mcp.opencaselaw.ch/entscheid/bger_4A_182_2018</w:t>
      </w:r>
    </w:p>
    <w:p>
      <w:r>
        <w:t>FR: TF 4A_182/2018 du 21 novembre 2018</w:t>
      </w:r>
    </w:p>
    <w:p>
      <w:r>
        <w:t>IT: TF 4A_182/2018 del 21 novembre 2018</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recourant se méprend lorsque, pour calculer la valeur litigieuse, il se fonde exclusivement sur le montant de l'assistance judiciaire réclamée devant l'instance cantonale (6'348 fr. = 2'540 fr. + 3'808 fr.) et qu'il en conclut que la valeur-seuil de 30'000 fr. exigée à l' art. 74 al. 1 let. b LTF n'est pas atteinte, ce qui le conduit à plaider l'existence d'une question juridique de principe au sens de l' art. 74 al. 2 let. a LTF .</w:t>
      </w:r>
    </w:p>
    <w:p>
      <w:r>
        <w:t>En vertu de l' art. 51 al. 1 let. a LTF , il convient, pour calculer la valeur litigieuse, de se fonder sur les dernières conclusions prises par les parties devant l'autorité précédente. Peu importe donc ce que celle-ci a décidé et ce qui reste litigieux devant le Tribunal fédéral ( ATF 121 III 214 consid. 1 p. 215; 103 II 158 consid. 2; sous l'empire de la LTF, cf. arrêt 4A_76/2018 du 8 octobre 2018 consid. 1). Devant la Cour d'appel civile, le demandeur a conclu à la réforme du jugement de première instance, en ce sens qu'il soit reconnu comme bénéficiaire du partage de la société simple (prétendument formée du fait de son concubinage) portant sur l'exploitation de l'école d'esthétique, et comme seul propriétaire de la parcelle disputée entre les parties. Il résulte de l'arrêt cantonal que la valeur litigieuse afférant à ces querelles est largement supérieure à la valeur-seuil de 30'000 fr. et que le recours en matière civile est recevable à ce titre, ce qui exclut d'entrer en matière sur le recours constitutionnel subsidiaire.</w:t>
      </w:r>
    </w:p>
    <w:p>
      <w:r>
        <w:t>Puisque la décision sur l'assistance judiciaire est rendue avec l'arrêt final sur le fond, le recours contre le refus de l'assistance judiciaire porte sur un arrêt qui met fin à la procédure et qui est une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rPr>
          <w:b/>
        </w:rPr>
        <w:t>E. 2</w:t>
      </w:r>
    </w:p>
    <w:p>
      <w:r>
        <w:t>La question litigieuse porte sur l'assistance judiciaire, sollicitée par le demandeur pour la procédure d'appel cantonale, qui lui a été refusée par les juges précédents au motif que son appel était dépourvu de chances de succès.</w:t>
      </w:r>
    </w:p>
    <w:p>
      <w:r>
        <w:t>Le recourant est d'avis que la cour cantonale aurait dû traiter sa requête d'assistance judiciaire dès son dépôt (et non seulement dans sa décision finale) et il lui reproche de n'avoir pas réellement examiné les chances de succès de son appel, qui auraient dû être reconnues.</w:t>
      </w:r>
    </w:p>
    <w:p>
      <w:r>
        <w:rPr>
          <w:b/>
        </w:rPr>
        <w:t>E. 2.1</w:t>
      </w:r>
    </w:p>
    <w:p>
      <w:r>
        <w:t>Selon l' art. 117 CPC , une personne a droit à l'assistance judiciaire si elle ne dispose pas des ressources suffisantes (let. a) et si sa cause ne paraît pas dépourvue de toute chance de succès (let. b).</w:t>
      </w:r>
    </w:p>
    <w:p>
      <w:r>
        <w:t>Cette disposition légale ne fait que concrétiser l' art. 29 al. 3 Cst. et il n'existe aucune différence matérielle entre la garantie constitutionnelle de l' art. 29 al. 3 Cst. et la règle contenue à l' art. 117 CPC (cf. arrêt 4A_270/2017 du 1er septembre 2017 consid. 4.1 et l'arrêt cité; ATF 135 I 91 consid. 2.4.2.1 p. 95). S'agissant plus spécifiquement de l'exigence relative aux chances de succès ( art. 117 let. b CPC ), il a été jugé que cette exigence, si elle fait l'objet d'un examen sérieux, n'entrave pas de manière injustifiée le droit à l'accès à la justice garanti par l' art. 6 ch. 1 CEDH (arrêt de la CEDH du 9 octobre 2012 dans la cause Roger Gähwiler c. Suisse).</w:t>
      </w:r>
    </w:p>
    <w:p>
      <w:r>
        <w:t>En vertu de l' art. 119 CPC , la requête d'assistance judiciaire peut être présentée avant ou pendant la litispendance (al. 1). Le tribunal statue sur la requête en procédure sommaire (al. 3). L'assistance judiciaire doit faire l'objet d'une nouvelle requête pour la procédure de recours (al. 5).</w:t>
      </w:r>
    </w:p>
    <w:p>
      <w:r>
        <w:t>La décision sur l'assistance judiciaire n'est pas nécessairement séparée de l'arrêt final, mais elle peut intervenir en même temps que celui-ci, sauf si la partie concernée (son mandataire) doit encore entreprendre d'autres démarches après avoir déposé sa demande (arrêt 5D_98/2016 du 22 juin 2016 consid. 4.1 et les arrêts cités). Pour la procédure d'appel, cela signifie que, lorsque la requête d'assistance judiciaire est formée en même temps que l'appel et que la cour compétente n'ordonne pas de second échange d'écritures ou d'instruction, aucune démarche supplémentaire n'est entreprise et une décision séparée sur cette requête n'est dès lors pas nécessaire (FRANÇOIS BOHNET, Note ad arrêt 5D_98/2016, in RSPC 2016 p. 503).</w:t>
      </w:r>
    </w:p>
    <w:p>
      <w:r>
        <w:t>Il appartient au juge de fournir une motivation (en particulier s'il refuse d'octroyer l'assistance judiciaire) qui permette au requérant de discerner les motifs qui ont guidé sa décision (sur le droit à obtenir une décision motivée en général, cf. ATF 134 I 83 consid. 4.1 p. 88; 126 I 97 consid. 2c p. 103).</w:t>
      </w:r>
    </w:p>
    <w:p>
      <w:r>
        <w:rPr>
          <w:b/>
        </w:rPr>
        <w:t>E. 2.2</w:t>
      </w:r>
    </w:p>
    <w:p>
      <w:r>
        <w:t>En l'occurrence, il résulte de l'arrêt entrepris que la Juge déléguée de la cour cantonale a dispensé le demandeur de l'avance de frais (tout en réservant la décision définitive sur l'assistance judiciaire) et qu'elle n'a pas ordonné d'échange d'écritures.</w:t>
      </w:r>
    </w:p>
    <w:p>
      <w:r>
        <w:t>Cela étant, c'est en vain que le recourant laisse entendre, dans divers passages de son mémoire, que l'autorité cantonale aurait impérativement dû procéder à un examen sommaire des chances de succès de l'appel avant de le traiter au fond.</w:t>
      </w:r>
    </w:p>
    <w:p>
      <w:r>
        <w:t>La critique est infondée.</w:t>
      </w:r>
    </w:p>
    <w:p>
      <w:r>
        <w:rPr>
          <w:b/>
        </w:rPr>
        <w:t>E. 2.3</w:t>
      </w:r>
    </w:p>
    <w:p>
      <w:r>
        <w:t>En ce qui concerne la motivation du refus de l'assistance judiciaire, la cour cantonale s'est exprimée à cet égard - après avoir conclu que l'appel devait être rejeté " selon le mode procédural de l' art. 312 al. 1 2 e phr. CPC " (ce qui implique que, selon la cour cantonale, l'appel était manifestement infondé) - comme suit :</w:t>
      </w:r>
    </w:p>
    <w:p>
      <w:r>
        <w:t>" Compte tenu de ce qui précède, il y a également lieu de considérer que l'appel était dénué de chances de succès au sens de l' art. 117 let. b CPC . Le bénéfice de l'assistance judiciaire doit donc être refusé à X.________. "</w:t>
      </w:r>
    </w:p>
    <w:p>
      <w:r>
        <w:t>Sur la base de cette motivation, on comprend que la cour cantonale a tranché la question de l'assistance judiciaire (sous l'angle de l' art. 117 let. b CPC ) en relevant que les arguments qui venaient d'être exposés (pour déclarer le recours manifestement infondé) pouvaient être repris pour conclure que l'appel était dénué de chances de succès.</w:t>
      </w:r>
    </w:p>
    <w:p>
      <w:r>
        <w:t>Certes succincte, cette motivation permet néanmoins, par le renvoi à " ce qui précède ", de saisir pour quelle raison la cour cantonale a rejeté la requête d'assistance judiciaire, autre étant la question de savoir si la motivation présentée est ou non convaincante.</w:t>
      </w:r>
    </w:p>
    <w:p>
      <w:r>
        <w:t>Le moyen se révèle infondé.</w:t>
      </w:r>
    </w:p>
    <w:p>
      <w:r>
        <w:rPr>
          <w:b/>
        </w:rPr>
        <w:t>E. 2.4</w:t>
      </w:r>
    </w:p>
    <w:p>
      <w:r>
        <w:t>Le recourant soutient que son appel cantonal n'était pas dénué de chances de succès.</w:t>
      </w:r>
    </w:p>
    <w:p>
      <w:r>
        <w:rPr>
          <w:b/>
        </w:rPr>
        <w:t>E. 2.4.1</w:t>
      </w:r>
    </w:p>
    <w:p>
      <w:r>
        <w:t>A cet égard, c'est en vain qu'il relève à réitérées reprises - pour tenter de suggérer un jugement volumineux et si complexe que les griefs qu'il soulève à son encontre ne pourraient en principe pas être considérés comme déraisonnables - que l'arrêt entrepris comporte 26 pages, " dont près de la moitié est consacrée aux motifs invoqués dans l'appel, qui ont fait l'objet de développements juridiques et de subsomptions circonstanciés ".</w:t>
      </w:r>
    </w:p>
    <w:p>
      <w:r>
        <w:t>En réalité, la partie " en droit " de l'arrêt cantonal commence à la page 14 et se termine à la page 25. Les prétendus développements juridiques circonstanciés ne sont qu'un simple rappel des dispositions légales applicables et d'une jurisprudence bien établie. Quant aux présomptions circonstanciées évoquées par le recourant, elles tiennent, pour la première (société simple), sur moins de deux pages et, pour la seconde (copropriété), sur moins d'une page. C'est donc en vain que le recourant tente de susciter l'idée d'un jugement volumineux et complexe.</w:t>
      </w:r>
    </w:p>
    <w:p>
      <w:r>
        <w:rPr>
          <w:b/>
        </w:rPr>
        <w:t>E. 2.4.2</w:t>
      </w:r>
    </w:p>
    <w:p>
      <w:r>
        <w:t>Pour convaincre que son appel cantonal n'était pas dénué de chances de succès, le recourant se borne à s'opposer à la motivation de la cour cantonale en des termes généraux. C'est ainsi qu'il affirme avoir " fermement contesté la vision selon lui trop simpliste du Tribunal de première instance " en reprochant à celui-ci de s'être " écarté sans motifs des différents indices, témoignages et éléments de preuve recueillis durant l'instruction ". Il estime que ces " manquements " l'ont " légitimement convaincu " du bien-fondé de ses prétentions (par. 3), que son appel " ne pouvait pas être considéré " comme " voué à l'échec " et qu'il " pouvait raisonnablement estimer comme critiquable " le jugement du Tribunal civil qui reposait " essentiellement sur son pouvoir d'appréciation ". Cela étant, le recourant n'explique pas vraiment - ne serait-ce que de façon succincte - en quoi la décision de l'autorité cantonale violerait le droit et on peut douter de la recevabilité de sa critique (cf. art. 42 al. 2 LTF ).</w:t>
      </w:r>
    </w:p>
    <w:p>
      <w:r>
        <w:t>Fût-elle recevable que celle-ci serait quoi qu'il en soit infondée (cf. infra consid. 2.4.3 et 2.4.4).</w:t>
      </w:r>
    </w:p>
    <w:p>
      <w:r>
        <w:rPr>
          <w:b/>
        </w:rPr>
        <w:t>E. 2.4.3</w:t>
      </w:r>
    </w:p>
    <w:p>
      <w:r>
        <w:t>Il résulte de l'arrêt entrepris que les critiques émises par le demandeur dans le cadre de son appel cantonal étaient effectivement dépourvues de chances de succès.</w:t>
      </w:r>
    </w:p>
    <w:p>
      <w:r>
        <w:t>Il s'agissait pour le recourant notamment de démontrer que chacune des parties avaient eu la volonté de s'unir pour poursuivre un but commun (</w:t>
      </w:r>
    </w:p>
    <w:p>
      <w:r>
        <w:t>animus societatis ), qui consistait en l'exploitation de l'école ( art. 530 al. 1 CO ). Plus particulièrement, il devait établir que, contrairement à ce qu'avait décidé le tribunal de première instance, il avait bien manifesté sa volonté de coopérer à la réalisation de ce but. Dans son appel, le demandeur n'a toutefois avancé aucun argument pertinent, mais il s'est limité à reprocher à l'autorité cantonale de s'être fondée exclusivement sur trois témoignages (alors que plusieurs autres témoins avaient été entendus durant l'instruction). Or, la cour précédente a relevé que ces trois témoignages n'étaient qu'un argument " parmi de nombreux autres " ayant conduit les premiers juges à nier tout</w:t>
      </w:r>
    </w:p>
    <w:p>
      <w:r>
        <w:t>animus societatis. Elle a ensuite mis en évidence que la position de l'appelant se heurtait à la réalité des faits sous plusieurs aspects: premièrement, l'appelant ne pouvait rien tirer (en sa faveur) des déclarations faites par les autres témoins auxquels il se référait, la cour précédente désignant, pour chaque témoin, un motif distinct qui rendait ses déclarations impropres à soutenir la thèse du demandeur; deuxièmement, ces témoignages, contrairement à ce qu'affirmait l'appelant, n'avaient pas été ignorés par les premiers juges, mais ceux-ci en avaient tenu compte au moment d'apprécier les preuves à leur disposition; troisièmement, de multiples éléments confirmaient l'opinion de la première instance, notamment le fait que le demandeur n'a pas effectué d'investissement spécifique pour l'école, que l'aide (menue) qu'il a apportée à sa compagne n'a pas dépassé ce qui est usuel entre concubins, qu'il n'avait aucun pouvoir de décision, qu'il ne pouvait pas engager l'école envers des tiers et qu'il ne participait pas au versement des charges et des frais de l'école.</w:t>
      </w:r>
    </w:p>
    <w:p>
      <w:r>
        <w:t>On observera en outre que les deux montants que le demandeur a attribué à l'école, l'un (19'020 fr.) affecté aux garanties bancaires du contrat de bail portant sur les locaux de l'école et l'autre (25'000 fr.) consistant en un prêt à celle-ci, ne plaident pas en faveur de la thèse du demandeur puisque celui-ci, qui en a réclamé le remboursement, ne les considère pas comme des apports.</w:t>
      </w:r>
    </w:p>
    <w:p>
      <w:r>
        <w:t>Cela étant, l'échec de l'appel cantonal était, si ce n'est programmé, à tout le moins largement prévisible.</w:t>
      </w:r>
    </w:p>
    <w:p>
      <w:r>
        <w:rPr>
          <w:b/>
        </w:rPr>
        <w:t>E. 2.4.4</w:t>
      </w:r>
    </w:p>
    <w:p>
      <w:r>
        <w:t>Le recourant ne revient pas sur la deuxième subsomption (copropriété) et il n'y a pas lieu d'examiner l'exigence relative aux chances de succès sous cet angle.</w:t>
      </w:r>
    </w:p>
    <w:p>
      <w:r>
        <w:t>Les moyens soulevés par le recourant se révèlent dès lors infondés dans la mesure de leur recevabilité.</w:t>
      </w:r>
    </w:p>
    <w:p>
      <w:r>
        <w:rPr>
          <w:b/>
        </w:rPr>
        <w:t>E. 3</w:t>
      </w:r>
    </w:p>
    <w:p>
      <w:r>
        <w:t>Il résulte des considérations qui précèdent que le recours en matière civile doit être rejeté dans la mesure où il est recevable. Le recours constitutionnel subsidiaire est irrecevable.</w:t>
      </w:r>
    </w:p>
    <w:p>
      <w:r>
        <w:t>Dès lors que le recours était d'emblée dénué de chances de succès, la requête d'assistance judiciaire du recourant (visant la procédure fédérale) doit être rejetée, sans qu'il soit nécessaire d'examiner si la condition de l'indigence est réalisée. Les frais de la procédure, fixés en fonction du montant encore litigieux devant la Cour de céans, sont donc mis à la charge du recourant ( art. 66 al. 1 LTF ; THOMAS GEISER, in Basler Kommentar, Bundesgerichtsgesetz, 2e éd. 2011, no 11 ad art. 65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