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4A_182/2014 vom 16. Juli 2014</w:t>
      </w:r>
    </w:p>
    <w:p>
      <w:r>
        <w:t>Bundesgericht, 2014-07-16, FR</w:t>
      </w:r>
    </w:p>
    <w:p>
      <w:r>
        <w:rPr>
          <w:b/>
        </w:rPr>
        <w:t xml:space="preserve">Quelle: </w:t>
      </w:r>
      <w:r>
        <w:t>https://mcp.opencaselaw.ch/entscheid/bger_4A_182_2014</w:t>
      </w:r>
    </w:p>
    <w:p>
      <w:r>
        <w:t>FR: TF 4A_182/2014 du 16 juillet 2014</w:t>
      </w:r>
    </w:p>
    <w:p>
      <w:r>
        <w:t>IT: TF 4A_182/2014 del 16 luglio 2014</w:t>
      </w:r>
    </w:p>
    <w:p>
      <w:pPr>
        <w:pStyle w:val="Heading2"/>
      </w:pPr>
      <w:r>
        <w:t>Erwägungen</w:t>
      </w:r>
    </w:p>
    <w:p>
      <w:r>
        <w:rPr>
          <w:b/>
        </w:rPr>
        <w:t>E. 1.1</w:t>
      </w:r>
    </w:p>
    <w:p>
      <w:r>
        <w:t>La cause relève de la matière civile au sens de l' art. 72 al. 1 LTF . La valeur litigieuse minimale pour former un tel recours est de 30'000 fr. ( art. 74 al. 1 let. b LTF ). Sont déterminantes les conclusions restées litigieuses devant l'autorité précédente ( art. 51 al. 1 let. a LTF ). L' art. 53 al. 1 LTF interdit d'additionner le montant d'une demande reconventionnelle à celui de la demande principale. Toutefois, lorsque le Tribunal fédéral est saisi d'un recours portant sur les deux demandes dont une seule (mais une au moins) atteint la valeur litigieuse minimale, il peut connaître de l'entier du litige, pour autant que les conclusions des deux demandes s'excluent (cf. art. 53 al. 2 LTF ). Cette attraction de compétence, qui ne déroge pas à l'interdiction du cumul des montants réclamés de part et d'autre, vise à éviter des jugements contradictoires (cf. arrêt 4A_473/2010 du 25 janvier 2011 consid. 1.1, in PJA 2012 711).</w:t>
      </w:r>
    </w:p>
    <w:p>
      <w:r>
        <w:t>En l'occurrence, la demande principale déposée par les maîtres d'ouvrage tend au remboursement de l'acompte déjà versé; l'action reconventionnelle vise à indemniser l'entrepreneur pour la part d'ouvrage déjà exécutée, respectivement les frais encourus. Ces conclusions sont dans un rapport d'exclusion. Devant l'autorité précédente, la demande principale n'atteignait pas le seuil minimal de 30'000 fr., mais tel était en revanche bien le cas de la demande reconventionnelle. Le recours porte sur les deux demandes, de sorte que les prévisions de l' art. 53 al. 2 LTF sont réalisées. Les autres conditions de recevabilité du recours en matière civile sont satisfaites.</w:t>
      </w:r>
    </w:p>
    <w:p>
      <w:r>
        <w:rPr>
          <w:b/>
        </w:rPr>
        <w:t>E. 1.2</w:t>
      </w:r>
    </w:p>
    <w:p>
      <w:r>
        <w:t>Le recours peut être formé pour violation du droit fédéral, que l'autorité de céans applique en principe d'office ( art. 95 let. a et art. 106 al. 1 LTF ). Elle est liée par les faits retenus dans l'arrêt attaqué ( art. 105 al. 1 LTF ) et par ceux du jugement de première instance, dans la mesure où ils ont été repris au moins implicitement par le tribunal supérieur (cf. ATF 129 IV 246 consid. 1; sous la LTF, cf. par ex. arrêt 4A_247/2013 du 14 octobre 2013 consid. 1.1).</w:t>
      </w:r>
    </w:p>
    <w:p>
      <w:r>
        <w:rPr>
          <w:b/>
        </w:rPr>
        <w:t>E. 2.1</w:t>
      </w:r>
    </w:p>
    <w:p>
      <w:r>
        <w:t>Devant le Tribunal fédéral, les recourantes ne contestent pas que la résiliation relève de l' art. 377 CO . Ce point est dès lors acquis (cf. art. 42 al. 2 et 108 al. 1 let. b LTF; ATF 140 III 115 consid. 2 p. 116).</w:t>
      </w:r>
    </w:p>
    <w:p>
      <w:r>
        <w:rPr>
          <w:b/>
        </w:rPr>
        <w:t>E. 2.2</w:t>
      </w:r>
    </w:p>
    <w:p>
      <w:r>
        <w:t>L' art. 377 CO permet au maître, tant que l'ouvrage n'est pas terminé, de se départir du contrat en payant le travail fait et en indemnisant complètement l'entrepreneur. Il s'agit d'un droit discrétionnaire: le maître doit pouvoir librement renoncer à faire exécuter l'ouvrage, quel que soit son motif ( ATF 69 II 139 consid. 4a p. 142 et 4b p. 144; PETER GAUCH, Der Werkvertrag, 5e éd. 2011, n° 523; TERCIER ET ALII, Les contrats spéciaux, 4</w:t>
      </w:r>
    </w:p>
    <w:p>
      <w:r>
        <w:t>e éd. 2009, nos 4798 s. et 4804).</w:t>
      </w:r>
    </w:p>
    <w:p>
      <w:r>
        <w:t>L'entrepreneur a le droit d'être remboursé pour la matière fournie et rémunéré pour tous les travaux nécessaires à l'exécution de l'ouvrage, y compris les travaux préparatoires, jusqu'au moment de la résiliation; dès cet instant, il doit interrompre ses travaux (Gauch, op. cit., n° 536; François Chaix, in Commentaire romand, 2e éd. 2012, n° 10 ad art. 377 CO ). La jurisprudence, en accord avec la doctrine majoritaire, admet que dans certaines circonstances, l'indemnité de l' art. 377 CO puisse être réduite, voire supprimée (arrêt 4C.393/2006 du 27 avril 2007 consid. 3.3 et les réf. citées).</w:t>
      </w:r>
    </w:p>
    <w:p>
      <w:r>
        <w:rPr>
          <w:b/>
        </w:rPr>
        <w:t>E. 3.1</w:t>
      </w:r>
    </w:p>
    <w:p>
      <w:r>
        <w:t>Les recourantes reprochent au Tribunal cantonal de n'avoir accordé aucune importance au fait que l'intimée avait passé commande auprès de son fournisseur alors qu'elles n'avaient toujours pas signé les plans d'exécution. Le tribunal aurait arbitrairement constaté qu'elles avaient eu une attitude passive et ambiguë pouvant laisser penser qu'elles acceptaient les plans remis.</w:t>
      </w:r>
    </w:p>
    <w:p>
      <w:r>
        <w:rPr>
          <w:b/>
        </w:rPr>
        <w:t>E. 3.2</w:t>
      </w:r>
    </w:p>
    <w:p>
      <w:r>
        <w:t>Les recourantes critiquent l'interprétation objective, fondée sur le principe de la confiance, que la cour cantonale a faite de leur comportement. Il s'agit d'un grief de droit, que l'autorité de céans examine sans être restreinte à l'arbitraire (cf. par ex. ATF 138 III 659 consid. 4.2.1).</w:t>
      </w:r>
    </w:p>
    <w:p>
      <w:r>
        <w:rPr>
          <w:b/>
        </w:rPr>
        <w:t>E. 3.3</w:t>
      </w:r>
    </w:p>
    <w:p>
      <w:r>
        <w:t>Les parties peuvent fixer contractuellement le moment à compter duquel l'entrepreneur doit commencer l'exécution de l'ouvrage (cf. par ex. GAUCH, op. cit., n° 673 p. 268).</w:t>
      </w:r>
    </w:p>
    <w:p>
      <w:r>
        <w:t>En l'occurrence, les maîtres ont déclaré approuver les conditions générales, lesquelles précisaient que le délai de livraison de la commande totale débutait dès les dernières modifications enregistrées et dès la remise des plans techniques acceptés par le client. L'expert judiciaire a par ailleurs tenu les propos suivants: "il faut savoir que dans toute commande d'agencement de cuisine il est toujours d'usage que ce n'est qu'à partir du moment (sic!) où le client a signé les plans définitifs que les travaux de fabrication peuvent débuter. Avec pour conséquence de permettre de déterminer la date de livraison et d'apprécier, d'entente avec les parties et selon l'avancement des travaux préparatoires, la date d'intervention sur le chantier pour la pose de l'agencement" (jgt de première instance, p. 116). Au moment de qualifier juridiquement le contrat, le juge de première instance a relevé que l'intimée devait établir des plans qui devaient être validés par les maîtres.</w:t>
      </w:r>
    </w:p>
    <w:p>
      <w:r>
        <w:t>Les parties ont donc convenu que l'exécution de l'ouvrage à proprement parler (i.e. la commande des éléments de cuisine auprès du fournisseur, puis les travaux de pose) pouvait débuter à compter du moment où les maîtres acceptaient les plans de la cuisine. Se pose la question de l'existence d'un tel accord, nonobstant le fait que les maîtres n'ont pas apposé leur signature sur les plans.</w:t>
      </w:r>
    </w:p>
    <w:p>
      <w:r>
        <w:rPr>
          <w:b/>
        </w:rPr>
        <w:t>E. 3.4</w:t>
      </w:r>
    </w:p>
    <w:p>
      <w:r>
        <w:t>L'intimée a présenté aux recourantes des plans qu'elles n'ont pas signés, au motif qu'ils ne correspondaient pas au plan initial. Le 28 juin 2008, l'intimée leur a soumis un nouveau jeu de plans, par courrier électronique. Les recourantes ont répondu le lendemain 29 juin que les plans "semblaient" désormais conformes, mais qu'il était difficile de les lire à l'écran. Elles ont déploré avoir dû modifier plusieurs de leurs choix initiaux après avoir appris que la cuisine ne serait pas faite sur mesure. Elles ont ensuite énoncé tous les inconvénients que leur occasionnait le report de la date des travaux, agendée au 14 juillet 2008, en avertissant qu'elles ne signeraient pas les plans avant de connaître une date possible pour le début des travaux d'installation. Enfin, elles ont exprimé leur "agacement" quant à la facturation de plus-values.</w:t>
      </w:r>
    </w:p>
    <w:p>
      <w:r>
        <w:t>La partie adverse ne pouvait pas, de bonne foi, interpréter ce courrier comme une autorisation d'exécuter les plans. Les maîtres les ont approuvés "prima facie", en évoquant des difficultés de lecture. Elles ont de surcroît critiqué la facturation de plus-values, sans qu'on sache l'importance et les motifs de celles-ci. Or, un tel grief est par nature susceptible d'influer sur l'approbation des plans et la volonté de faire exécuter l'ouvrage avec un surcoût. Vu les diverses récriminations émises, l'entrepreneur devait comprendre que l'acceptation des plans - et donc l'accord quant à l'exécution de l'ouvrage - ne dépendait pas uniquement de la communication d'une date de pose la plus proche possible de l'échéance non respectée.</w:t>
      </w:r>
    </w:p>
    <w:p>
      <w:r>
        <w:t>Le 3 juillet 2008, après avoir annoncé que la date de pose pourrait intervenir à la fin juillet-début août, l'intimée a adressé aux maîtres le plan de cuisine "définitif et corrigé" et un contrat relatif aux plus-values, dont elle indiquait avoir baissé le montant en fonction des dernières modifications. Elle confirmait la livraison du fournisseur pour la fin du mois; le contrat joint en annexe mentionnait que la commande avait été passée.</w:t>
      </w:r>
    </w:p>
    <w:p>
      <w:r>
        <w:t>Ce courrier et ses annexes étaient source de confusion. D'une part, l'intimée soumettait aux maîtres des plans sur papier - plus lisibles - et une réduction des plus-values, en sollicitant leur approbation par l'apposition d'une signature sur les documents; d'autre part, elle laissait entendre que la commande avait déjà été passée, sans qu'on comprenne si elle se référait uniquement aux éléments de plus-value ou à l'ensemble de la cuisine.</w:t>
      </w:r>
    </w:p>
    <w:p>
      <w:r>
        <w:t>Dans cette situation de confusion, créée par l'intimée elle-même, elle ne pouvait dans le doute présupposer l'accord des maîtres, dont elle demandait une preuve expresse qu'elle n'a jamais obtenue. L'on pourrait même voir dans le courrier du 11 juillet 2008 un signe qu'elle n'a pas interprété le silence des maîtres comme une acceptation: déplorant l'absence de nouvelles, elle a invité les maîtres à signer les plans et le contrat de plus-value afin de ne pas retarder l'exécution de la commande. Elle signifiait ainsi clairement qu'à défaut d'obtenir leur signature, elle ne pourrait pas aller de l'avant. Elle a encore tenu les mêmes propos le 15 juillet 2008, avant d'envoyer le 16 juillet une facture finale dans laquelle elle précisait la date des travaux de pose, suite à quoi les recourantes ont réagi rapidement.</w:t>
      </w:r>
    </w:p>
    <w:p>
      <w:r>
        <w:t>Dans ces circonstances, il est contraire au droit fédéral de considérer que l'intimée pouvait de bonne foi se sentir habilitée à débuter l'exécution de l'ouvrage et à passer commande des éléments de cuisine auprès de son fournisseur. L'avis de l'expert, selon lequel l'intimée a agi dans les règles de l'art sous réserve d'un manque d'explications sur la question des tiroirs, ne lie pas le juge lorsqu'il s'agit de trancher des questions juridiques telles que le moment auquel l'exécution de l'ouvrage devait débuter, ou encore l'interprétation objective du comportement d'une partie. De même, il importe peu que les derniers plans remis soient conformes à ce qui avait été initialement prévu, sous réserve du problème irrémédiable des tiroirs, qui, encore une fois, n'a pas été présenté correctement. Les recourantes n'étaient pas tenues d'approuver ces plans et d'ordonner ainsi l'exécution de l'ouvrage, disposant d'un droit discrétionnaire à résilier le contrat.</w:t>
      </w:r>
    </w:p>
    <w:p>
      <w:r>
        <w:t>L'intimée peut donc tout au plus être indemnisée pour le travail préparatoire accompli avant qu'elle ne passe indûment commande des éléments de cuisine. Il appartiendra à la cour cantonale de déterminer ce montant, étant entendu que les recourantes n'ont pas à supporter les modifications de plans en tant qu'elles représentaient une simple mise en conformité avec les choix initiaux.</w:t>
      </w:r>
    </w:p>
    <w:p>
      <w:r>
        <w:rPr>
          <w:b/>
        </w:rPr>
        <w:t>E. 3.5</w:t>
      </w:r>
    </w:p>
    <w:p>
      <w:r>
        <w:t>Les autres griefs soulevés par les recourantes se trouvent privés d'objet. Point n'est besoin de se prononcer sur la recevabilité des pièces produites à l'appui du recours, étant rappelé que la production de pièces nouvelles est en principe proscrite ( art. 99 al. 1 LTF ; ATF 139 III 120 consid. 3.1.2).</w:t>
      </w:r>
    </w:p>
    <w:p>
      <w:r>
        <w:rPr>
          <w:b/>
        </w:rPr>
        <w:t>E. 4</w:t>
      </w:r>
    </w:p>
    <w:p>
      <w:r>
        <w:t>Les recourantes obtiennent gain de cause sur le principe. L'intimée voit la décision attaquée modifiée à son détriment et doit ainsi être considérée comme la partie qui succombe, bien qu'elle aie renoncé à se déterminer (cf. par ex. arrêt 4A_56/2010 du 4 mai 2010 consid. 3; BERNARD CORBOZ, in Commentaire de la LTF, 2</w:t>
      </w:r>
    </w:p>
    <w:p>
      <w:r>
        <w:t>e éd. 2014, n° 38 ad art. 66 LTF ); en conséquence, elle supportera les frais de la présente procédure et versera une indemnité de dépens aux recourantes (art. 66 al. 1;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