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4A_181/2025 vom 27. Mai 2025</w:t>
      </w:r>
    </w:p>
    <w:p>
      <w:r>
        <w:t>Bundesgericht, 2025-05-27, DE</w:t>
      </w:r>
    </w:p>
    <w:p>
      <w:r>
        <w:rPr>
          <w:b/>
        </w:rPr>
        <w:t xml:space="preserve">Quelle: </w:t>
      </w:r>
      <w:r>
        <w:t>https://mcp.opencaselaw.ch/entscheid/bger_4A_181_2025</w:t>
      </w:r>
    </w:p>
    <w:p>
      <w:r>
        <w:t>FR: TF 4A_181/2025 du 27 mai 2025</w:t>
      </w:r>
    </w:p>
    <w:p>
      <w:r>
        <w:t>IT: TF 4A_181/2025 del 27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4A_181/2025</w:t>
      </w:r>
    </w:p>
    <w:p>
      <w:r>
        <w:t>Verfügung vom 27. Mai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Alessandro Levi Laurenti,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vertreten durch Rechtsanwalt Dr. Stefan Leimgruber,</w:t>
      </w:r>
    </w:p>
    <w:p>
      <w:r>
        <w:t>Beschwerdegegnerin.</w:t>
      </w:r>
    </w:p>
    <w:p>
      <w:r>
        <w:t>Gegenstand</w:t>
      </w:r>
    </w:p>
    <w:p>
      <w:r>
        <w:t>Auftrag; Rückzug der Beschwerde,</w:t>
      </w:r>
    </w:p>
    <w:p>
      <w:r>
        <w:t>Beschwerde gegen das Urteil des Obergerichts des Kantons Zürich, II. Zivilkammer, vom 10. März 2025 (LB240042-O/U).</w:t>
      </w:r>
    </w:p>
    <w:p>
      <w:r>
        <w:t>In Erwägung,</w:t>
      </w:r>
    </w:p>
    <w:p>
      <w:r>
        <w:t>dass der Beschwerdeführer seine Beschwerde vom 11. April 2025 gegen das Urteil des Obergerichts des Kantons Zürich vom 10. März 2025 mit Schreiben vom 23. Mai 2025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der Beschwerdegegnerin keine Parteientschädigung zuzusprechen ist, da ihr im Zusammenhang mit dem bundesgerichtlichen Verfahren kein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 und dem Obergericht des Kantons Zürich, II. Zivilkammer, schriftlich mitgeteilt.</w:t>
      </w:r>
    </w:p>
    <w:p>
      <w:r>
        <w:t>Lausanne, 27. Mai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