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4A_181/2020 vom 30. November 2020</w:t>
      </w:r>
    </w:p>
    <w:p>
      <w:r>
        <w:t>Bundesgericht, 2020-11-30, FR</w:t>
      </w:r>
    </w:p>
    <w:p>
      <w:r>
        <w:rPr>
          <w:b/>
        </w:rPr>
        <w:t xml:space="preserve">Quelle: </w:t>
      </w:r>
      <w:r>
        <w:t>https://mcp.opencaselaw.ch/entscheid/bger_4A_181_2020</w:t>
      </w:r>
    </w:p>
    <w:p>
      <w:r>
        <w:t>FR: TF 4A_181/2020 du 30 novembre 2020</w:t>
      </w:r>
    </w:p>
    <w:p>
      <w:r>
        <w:t>IT: TF 4A_181/2020 del 30 novembre 2020</w:t>
      </w:r>
    </w:p>
    <w:p>
      <w:pPr>
        <w:pStyle w:val="Heading2"/>
      </w:pPr>
      <w:r>
        <w:t>Erwägungen</w:t>
      </w:r>
    </w:p>
    <w:p>
      <w:r>
        <w:rPr>
          <w:b/>
        </w:rPr>
        <w:t>E. 1.1</w:t>
      </w:r>
    </w:p>
    <w:p>
      <w:r>
        <w:t>Interjeté en temps utile, compte tenu des féries de Pâques (art. 100 al. 1 et 46 al. 1 let. a LTF), par la partie demanderesse qui a succombé dans ses conclusions ( art. 76 al. 1 LTF ), contre une décision finale ( art. 90 LTF ) rendue sur appel par le tribunal supérieur du canton de Vaud ( art. 75 LTF ) sur une action en libération de dette ( art. 83 al. 2 LP ) ayant pour objet le remboursement d'un prêt ( art. 72 al. 1 LTF ) dont la valeur litigieuse est supérieure à 30'000 fr. ( art. 74 al. 1 let. b LTF ), le recours en matière civile est recevable au regard de ces dispositions.</w:t>
      </w:r>
    </w:p>
    <w:p>
      <w:r>
        <w:rPr>
          <w:b/>
        </w:rPr>
        <w:t>E. 1.2</w:t>
      </w:r>
    </w:p>
    <w:p>
      <w:r>
        <w:t>L'avocat de l'intimée produit une nouvelle procuration en sa faveur du 7 juin 2020 signée par le nouvel administrateur de l'intimée (à compter du 9 mai 2016), soit I.________, ainsi qu'une attestation de l'agent résident de celle-ci du nom de M.________ Ltd et une attestation au sujet de l'enregistrement de cette dernière société par le Ministère du commerce, de l'industrie et du travail de E.________.</w:t>
      </w:r>
    </w:p>
    <w:p>
      <w:r>
        <w:t>Dans la mesure où ces pièces sont destinées à justifier des pouvoirs du mandataire pour déposer la réponse de l'intimée dans la procédure devant le Tribunal fédéral, ces pièces sont recevables. Il n'y a pas lieu de déterminer si ces pièces sont suffisantes pour établir que la société M.________ est bien l'agent de l'intimée dès lors que la recourante ne le conteste pas expressément, même si elle utilise parfois le conditionnel pour désigner les pouvoirs d'administrateur conférés à I.________, qui est également l'actionnaire de l'intimée.</w:t>
      </w:r>
    </w:p>
    <w:p>
      <w:r>
        <w:t>En revanche, dans la mesure où la recourante soutient que ces pièces " remettent de manière fondamentale en cause toute l'instruction du procès " et " remettent en question les pouvoirs conférés par l'administratrice prétendue de B.________, la société G.________ Limited, domiciliée à... au point que l'on doit se demander si l'intimée a été valablement représentée tout au long de la procédure ", elle méconnaît qu'en vertu de l' art. 125 LTF , des faits et preuves découverts postérieurement à l'arrêt cantonal mais avant l'arrêt du Tribunal fédéral doivent faire l'objet d'une procédure de révision cantonale dans le délai de 90 jours ( art. 328 ss CPC ) et d'une requête de suspension de la procédure fédérale jusqu'à droit connu.</w:t>
      </w:r>
    </w:p>
    <w:p>
      <w:r>
        <w:rPr>
          <w:b/>
        </w:rPr>
        <w:t>E. 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w:t>
      </w:r>
    </w:p>
    <w:p>
      <w:r>
        <w:t>La société emprunteuse recourante ne conteste pas qu'elle a conclu un contrat de prêt avec la société prêteuse, ni qu'elle a reçu sur son compte bancaire le montant de ce prêt, soit 1'500'000 euros, viré depuis le compte de la société prêteuse, ni qu'elle s'est acquittée de tranches d'intérêts de 12'500 euros chacune sur le compte de celle-ci. Elle ne conteste pas non plus que la société prêteuse, personne morale, existe, qu'elle a la qualité de partie et la capacité d'ester en justice, ce que la cour cantonale a constaté.</w:t>
      </w:r>
    </w:p>
    <w:p>
      <w:r>
        <w:t>En revanche, pour peu qu'on puisse comprendre la motivation alambiquée de son recours, la recourante soutient en substance, d'une part, que le contrat de prêt est nul parce qu'il n'est pas établi que celui qui l'a signé au nom de la société prêteuse, à savoir I.________, avait les pouvoirs de représenter celle-ci au moment de sa conclusion et, d'autre part, que ni I.________, ni l'avocat qui avait rédigé les actes de procédure et avait accompagné le premier à l'audience, ne pouvaient représenter la société prêteuse en procédure, et ce parce qu'il n'a pas été établi que la société G.________ était administratrice de la société prêteuse, ni quelles personnes pouvaient représenter cette prétendue administratrice.</w:t>
      </w:r>
    </w:p>
    <w:p>
      <w:r>
        <w:rPr>
          <w:b/>
        </w:rPr>
        <w:t>E. 4</w:t>
      </w:r>
    </w:p>
    <w:p>
      <w:r>
        <w:t>D'abord, en ce qui concerne le contrat de prêt du 22 février 2011, la recourante soutient, en invoquant la violation des art. 32 ss CO , qu'il serait nul parce qu'il aurait été signé par I.________ qui ne pouvait pas valablement représenter la société prêteuse et qu'il n'aurait pas non plus été ratifié par celle-ci.</w:t>
      </w:r>
    </w:p>
    <w:p>
      <w:r>
        <w:rPr>
          <w:b/>
        </w:rPr>
        <w:t>E. 4.1</w:t>
      </w:r>
    </w:p>
    <w:p>
      <w:r>
        <w:t>Il n'est pas contesté par la recourante que le contrat de prêt soit soumis au droit suisse, vu la clause d'élection de droit. Elle ne conteste pas non plus que la question de la représentation de la société prêteuse par I.________ doive s'examiner également selon le droit suisse ( art. 126 al. 2 LDIP ).</w:t>
      </w:r>
    </w:p>
    <w:p>
      <w:r>
        <w:rPr>
          <w:b/>
        </w:rPr>
        <w:t>E. 4.2</w:t>
      </w:r>
    </w:p>
    <w:p>
      <w:r>
        <w:t>Le prêt de consommation est un contrat par lequel le prêteur s'oblige à transférer notamment la propriété d'une somme d'argent à l'emprunteur, à charge pour ce dernier de lui en rendre autant de même espèce ( art. 312 CO ). La restitution du prêt est soumise à deux conditions: premièrement, la remise des fonds à l'emprunteur et, deuxièmement, l'obligation de restitution stipulée à charge de celui-ci ( ATF 144 III 93 consid. 5.1.1; 83 II 209 consid. 2 p. 210).</w:t>
      </w:r>
    </w:p>
    <w:p>
      <w:r>
        <w:t>La volonté d'une personne morale s'exprime par ses organes (par imputation à la personne morale des actes de l'organe; art. 55 al. 1-2 CC ; ATF 146 III 37 consid. 5.1) ou par des représentants civils au sens des art. 32 ss CO ( ATF 146 III 37 consid. 5.3).</w:t>
      </w:r>
    </w:p>
    <w:p>
      <w:r>
        <w:t>Selon le système des art. 32 ss CO ,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 arrêt 4A_562/2019 du 10 juillet 2020 consid. 5); (2) en l'absence de pouvoirs internes conférés au représentant par le représenté, lorsque le tiers pouvait déduire l'existence de tels pouvoirs du comportement du représenté dans leurs rapports externes (procuration apparente; art. 33 al. 3 CO ; arrêt 4A_562/2019 précité consid. 6); et (3) en l'absence de pouvoirs internes conférés au représentant par le représenté, lorsque celui-ci a ratifié le contrat ( art. 38 al. 1 CO ) ( ATF 146 III 37 consid. 7.1 p. 45; 131 III 511 consid. 3.1 p. 517; 120 II 197 consid. 2 p. 198 in initio; arrêt 4A_562/2019 précité consid.4).</w:t>
      </w:r>
    </w:p>
    <w:p>
      <w:r>
        <w:t>En particulier, en vertu de l' art. 38 al. 1 CO , il y a ratification lorsque la personne au nom de laquelle le " représentant " a agi déclare reprendre l'acte conclu en son nom par le " représentant ". Cet acte juridique unilatéral formateur n'est en principe soumis à aucune forme et peut donc être exprès ou résulter d'actes concluants ( ATF 128 III 129 consid. 2b-c).</w:t>
      </w:r>
    </w:p>
    <w:p>
      <w:r>
        <w:rPr>
          <w:b/>
        </w:rPr>
        <w:t>E. 4.3.1</w:t>
      </w:r>
    </w:p>
    <w:p>
      <w:r>
        <w:t>En l'espèce, il n'a pas été allégué en procédure par la demanderesse que I.________, qui est le bénéficiaire économique (le " propriétaire ") de la société prêteuse selon celle-là, en aurait été un organe au moment de la conclusion du contrat de prêt le 22 février 2011. Il ne peut donc avoir agi qu'en tant que représentant civil au sens des art. 32 ss CO .</w:t>
      </w:r>
    </w:p>
    <w:p>
      <w:r>
        <w:t>I.________ a signé le contrat de prêt au nom de la société prêteuse, nommément désignée, et dans son courrier du 21 février 2013, la société emprunteuse le qualifiait elle-même de représentant de la société prêteuse. La cour cantonale semble avoir admis que celui-ci représentait donc la société prêteuse. Elle a toutefois examiné quelle serait la situation " en admettant que l'intimée n'aurait pas conféré les pouvoirs nécessaires au représentant I.________ ".</w:t>
      </w:r>
    </w:p>
    <w:p>
      <w:r>
        <w:t>A supposer que I.________ n'aurait pas disposé des pouvoirs internes pour représenter la société prêteuse, la cour cantonale a à tort cru pouvoir appliquer l' art. 33 al. 3 CO . En effet, dans ce cas de figure,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 ATF 146 III 121 consid. 3.2.2; arrêt 4A_562/2019 précité consid. 4.1.2). Or, en l'espèce, le tiers cocontractant, soit la demanderesse, veut exactement le contraire: elle refuse d'être liée par le contrat passé par le représentant sans pouvoirs de la défenderesse, ce qui ôte d'emblée tout sens à vouloir appliquer cette disposition.</w:t>
      </w:r>
    </w:p>
    <w:p>
      <w:r>
        <w:t>C'est en revanche à raison que la cour cantonale a admis la ratification au sens de l'art. 38 al 1 CO. En effet, la société prêteuse a ratifié le contrat de prêt en l'exécutant, soit en versant à la société emprunteuse le montant convenu de 1'500'000 euros. C'est à tort que la demanderesse recourante soutient que le simple versement du montant sur son compte ne suffirait pas pour admettre une ratification.</w:t>
      </w:r>
    </w:p>
    <w:p>
      <w:r>
        <w:rPr>
          <w:b/>
        </w:rPr>
        <w:t>E. 4.3.2</w:t>
      </w:r>
    </w:p>
    <w:p>
      <w:r>
        <w:t>Les griefs de la recourante ne changent rien à ce qui précède.</w:t>
      </w:r>
    </w:p>
    <w:p>
      <w:r>
        <w:t>La recourante soutient qu'il n'aurait pas été établi que l'argent viré appartenait à la société prêteuse, ni qu'il était géré par elle, invoquant un déni de justice ( art. 29 al. 1 Cst. ) et une violation de son droit d'être entendue ( art. 29 al. 2 Cst. ). Or, dès lors que le montant de 1'500'000 euros a été débité du compte de la société prêteuse (auprès de J.________), et versé sur le compte de la société emprunteuse (auprès de K.________ SA), il est indéniable que celle-là a droit au remboursement du montant viré conformément au contrat de prêt. Il ne suffit pas, pour démontrer que tel ne serait pas le cas, d'affirmer que l'argent viré ne lui appartenait pas ou qu'il n'aurait pas été géré par elle. La cour cantonale n'a donc commis ni déni de justice ni violation du droit d'être entendu en n'instruisant pas ces faits, dont la recourante ne démontre même pas qu'elle les aurait allégués et aurait offert de les prouver en temps utile.</w:t>
      </w:r>
    </w:p>
    <w:p>
      <w:r>
        <w:t>La recourante soutient que la société prêteuse aurait clos son compte auprès de J.________. Or, rien n'empêche une société de changer de relation bancaire. Puisqu'il est établi que celle-ci en a ouvert un nouveau à son nom auprès d'une autre banque, sur lequel la société emprunteuse a été invitée à rembourser, dans un premier temps, les tranches d'intérêts en retard et, à l'échéance, le prêt, la demanderesse doit s'en acquitter sur ce nouveau compte.</w:t>
      </w:r>
    </w:p>
    <w:p>
      <w:r>
        <w:rPr>
          <w:b/>
        </w:rPr>
        <w:t>E. 5</w:t>
      </w:r>
    </w:p>
    <w:p>
      <w:r>
        <w:t>Ensuite, en ce qui concerne la représentation de la société prêteuse en procédure, la recourante conteste qu'elle ait été valablement représentée par I.________, respectivement par l'avocat Me Michod. En bref, elle relève qu'il n'est établi officiellement ni que la société G.________ fut l'administratrice de la société prêteuse, ni quelles furent les personnes physiques qui pouvaient signer pour cette administratrice. Il en résulterait que les procurations délivrées tant à I.________ le 28 novembre 2012 qu'à Me Michod le 26 mai 2013 par la société G.________ ne seraient pas valables et que tous les actes de procédure devraient être annulés.</w:t>
      </w:r>
    </w:p>
    <w:p>
      <w:r>
        <w:rPr>
          <w:b/>
        </w:rPr>
        <w:t>E. 5.1</w:t>
      </w:r>
    </w:p>
    <w:p>
      <w:r>
        <w:t>Dans les procès régis par la maxime des débats ( art. 55 al. 1 CPC ), il incombe au demandeur d'alléguer les faits ( art. 221 al. 1 let . d CPC), d'indiquer, pour chaque allégation de fait, les moyens de preuve qu'il propose ( art. 221 al. 1 let . e CPC) et de le faire en temps utile, c'est-à-dire en principe dans la demande (cf. art. 229 al. 1-2 et 317 al. 1 CPC). De son côté, le défendeur doit exposer dans sa réponse quels sont les faits allégués dans la demande qu'il reconnaît et quels sont les faits qu'il conteste ( art. 222 al. 2 2 e phr. CPC). L'administration des preuves ne porte en effet que sur les faits contestés ( art. 150 al. 1 CPC ).</w:t>
      </w:r>
    </w:p>
    <w:p>
      <w:r>
        <w:t>Tous les participants au procès doivent agir de bonne foi et, partant, ne pas commettre d'abus de droit ( art. 52 CPC ; ATF 132 I 249 consid. 5 p. 252; arrêt 4A_590/2016 du 26 janvier 2017 consid. 2.1).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car la partie adverse pouvait compter que cette partie n'abandonnerait pas la position qu'elle avait prise antérieurement en connaissance de cause (DESCHENAUX, le Titre préliminaire du Code civil, in Traité de droit privé suisse, tome II/1, Fribourg 1969, p. 172 en bas; arrêt 4A_590/2016 précité consid. 2.1). La prétention de cette partie ne mérite pas la protection du droit ( ATF 89 II 287 consid. 5 p. 299 s.).</w:t>
      </w:r>
    </w:p>
    <w:p>
      <w:r>
        <w:rPr>
          <w:b/>
        </w:rPr>
        <w:t>E. 5.2</w:t>
      </w:r>
    </w:p>
    <w:p>
      <w:r>
        <w:t>La défenderesse a allégué notamment être titulaire de la créance en remboursement du prêt, que la société G.________ était son administratrice et que celle-ci avait donné procuration à I.________ pour la représenter. La demanderesse l'a contesté dans sa réplique, invoquant un montage " bidon ". Le juge délégué a ordonné la production de pièces concernant la société défenderesse. A réception du courrier du Ministère des affaires étrangères et du commerce de l'État de E.________, la demanderesse a informé le juge délégué qu'elle se contentait du résultat des démarches ainsi effectuées. En août 2018, la demanderesse a encore renoncé à l'audition du témoin H.________.</w:t>
      </w:r>
    </w:p>
    <w:p>
      <w:r>
        <w:t>Puisqu'elle avait toujours traité avec I.________, le fait que la demanderesse ait déclaré se contenter du résultat des démarches entreprises pouvait et devait être compris de bonne foi comme une renonciation de sa part à contester que I.________ représentait la société prêteuse en procédure. En revenant en appel, puis dans le présent recours au Tribunal fédéral sur sa déclaration, la demanderesse et recourante adopte une attitude contradictoire.</w:t>
      </w:r>
    </w:p>
    <w:p>
      <w:r>
        <w:t>Le fait que la cour cantonale ait constaté que l'extrait de registre du 28 novembre 2012, attestant que la société G.________ était l'administratrice unique de la défenderesse, n'était pas une attestation officielle n'y change rien. Il importe peu également que le fardeau de la preuve de ce fait et des personnes habilitées à la représenter incombât à la défenderesse. L'attitude contradictoire de la demanderesse est abusive et ne mérite aucune protection.</w:t>
      </w:r>
    </w:p>
    <w:p>
      <w:r>
        <w:rPr>
          <w:b/>
        </w:rPr>
        <w:t>E. 5.3</w:t>
      </w:r>
    </w:p>
    <w:p>
      <w:r>
        <w:t>Il en va de même en ce qui concerne la représentation professionnelle exercée par Me Michod. A cet égard, il suffit déjà, pour l'admettre, de constater que I.________, qui représentait la société prêteuse en procédure et a comparu en audience en son nom, était accompagné de Me Michod.</w:t>
      </w:r>
    </w:p>
    <w:p>
      <w:r>
        <w:rPr>
          <w:b/>
        </w:rPr>
        <w:t>E. 6</w:t>
      </w:r>
    </w:p>
    <w:p>
      <w:r>
        <w:t>Au vu de ce qui précède, le recours doit être rejeté dans la mesure où il est recevable, aux frais et dépens de son auteur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