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4A_181/2012 vom 10. September 2012</w:t>
      </w:r>
    </w:p>
    <w:p>
      <w:r>
        <w:t>Bundesgericht, 2012-09-10, FR</w:t>
      </w:r>
    </w:p>
    <w:p>
      <w:r>
        <w:rPr>
          <w:b/>
        </w:rPr>
        <w:t xml:space="preserve">Quelle: </w:t>
      </w:r>
      <w:r>
        <w:t>https://mcp.opencaselaw.ch/entscheid/bger_4A_181_2012</w:t>
      </w:r>
    </w:p>
    <w:p>
      <w:r>
        <w:t>FR: TF 4A_181/2012 du 10 septembre 2012</w:t>
      </w:r>
    </w:p>
    <w:p>
      <w:r>
        <w:t>IT: TF 4A_181/2012 del 10 settembre 2012</w:t>
      </w:r>
    </w:p>
    <w:p>
      <w:pPr>
        <w:pStyle w:val="Heading2"/>
      </w:pPr>
      <w:r>
        <w:t>Erwägungen</w:t>
      </w:r>
    </w:p>
    <w:p>
      <w:r>
        <w:rPr>
          <w:b/>
        </w:rPr>
        <w:t>E. 1</w:t>
      </w:r>
    </w:p>
    <w:p>
      <w:r>
        <w:t>Le recours est dirigé contre une décision finale ( art. 90 LTF ), rendue en dernière instance cantonale ( art. 75 al. 1 LTF ) et susceptible du recours en matière civile ( art. 72 al. 1 LTF ). Ses auteurs ont pris part à l'instance précédente et succombé dans leurs conclusions ( art. 76 al. 1 LTF ). La valeur litigieuse excède le minimum légal de 30'000 fr. (art. 51 al. 1 let. a et 74 al. 1 let. b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t>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137 I 58 consid. 4.1.2 p. 62; 136 III 552 consid. 4.2 p. 560; 129 I 8 consid. 2.1).</w:t>
      </w:r>
    </w:p>
    <w:p>
      <w:r>
        <w:rPr>
          <w:b/>
        </w:rPr>
        <w:t>E. 2</w:t>
      </w:r>
    </w:p>
    <w:p>
      <w:r>
        <w:t>En instance fédérale, il n'est plus mis en doute que A.________ et R.________ se soient liés par un contrat de prêt de consommation, aux termes de l' art. 312 CO , sans intérêts, ni que l'emprunteur se soit obligé à rembourser la somme prêtée conformément à l'art. 318 in fine CO, c'est-à-dire dans un délai de six semaines dès la première réclamation de l'autre partie. L'obligation de rembourser le prêt était soumise au délai de prescription de dix ans prévu par l' art. 127 CO . Ce délai a couru dès le moment prescrit par l' art. 130 CO . A bon droit, conformément à la jurisprudence, la Cour d'appel retient que le contrat pouvait être résilié dès sa conclusion et que la prescription a donc couru, par l'effet de l' art. 130 al. 2 CO , dès l'expiration du délai de six semaines à compter de l'octroi du prêt ( ATF 91 II 442 consid. 5b p. 451/452; arrêt 4A_699/2011 du 22 décembre 2011, consid. 3 et 4). Ce point n'est pas non plus contesté devant le Tribunal fédéral. La qualité des parties au procès, les unes pour agir et les autres pour défendre, est également indiscutée.</w:t>
      </w:r>
    </w:p>
    <w:p>
      <w:r>
        <w:rPr>
          <w:b/>
        </w:rPr>
        <w:t>E. 3</w:t>
      </w:r>
    </w:p>
    <w:p>
      <w:r>
        <w:t>Selon les art. 135 ch. 1 et 137 al. 1 CO , la prescription est interrompue lorsque le débiteur reconnaît la dette (art. 135 ch. 1) et un nouveau délai court dès l'interruption (art. 137 al. 1). Les demandeurs se réfèrent à la déposition de D.________ et ils reprochent à la Cour d'appel de l'avoir écartée de manière arbitraire. Sur la base de cette déposition, ils soutiennent que la dette a été reconnue en 2001, qu'un nouveau délai s'est écoulé dès cette époque et que ce nouveau délai n'était pas échu au jour de l'introduction de la demande.</w:t>
      </w:r>
    </w:p>
    <w:p>
      <w:r>
        <w:t>La contestation porte ainsi sur la constatation des faits et l'appréciation des preuves par les juges d'appel; à ce sujet, le Tribunal fédéral n'exerce que le contrôle restreint prévu par les art. 97 al. 1 et 105 al. 2 LTF.</w:t>
      </w:r>
    </w:p>
    <w:p>
      <w:r>
        <w:t>Les demandeurs soulignent que les juges de première instance ont reconnu la force probante de la déposition concernée et qu'ils ont pris, dans les termes ci-après, le soin de motiver leur appréciation : « La conversation rapportée par le témoin D.________ semble tout ce qu'il y a de plus naturel, entre belles-soeurs, dans la situation où se trouvaient les parties. » Les demandeurs insistent sur le contexte familial de l'ensemble de l'affaire, lequel favorisait, selon leur argumentation, les discussions informelles lors des repas ou autres réunions advenant dans la vie de la famille, plutôt que des démarches écrites permettant ultérieurement la preuve par titres. Ils soutiennent que dans ce contexte, l'appréciation défavorable des juges d'appel aboutit à leur dénier le droit à preuve. Ils font aussi valoir que la déposition de D.________ doit être mise en relation avec celle de E.________ car elles concordent dans leur substance.</w:t>
      </w:r>
    </w:p>
    <w:p>
      <w:r>
        <w:t>Selon l' art. 169 CPC , toute personne qui n'est pas partie au procès peut déposer en qualité de témoin; le conjoint d'une partie peut donc aussi déposer. La même règle valait sous l'empire du droit cantonal de procédure encore applicable en première instance par l'effet de l' art. 404 al. 1 CPC (cf. art. 197 al. 1 CPC vaud.; Jean-François Poudret et al., Procédure civile vaudoise, 2002, n° 2 ad art. 186 CPC vaud.). La suspicion de partialité d'un témoin, résultant par exemple d'un lien conjugal, de parenté, d'alliance ou d'amitié avec une partie, doit être prise en considération au stade de l'appréciation du témoignage; néanmoins, comme le soulignent les demandeurs, la suspicion n'exclut pas d'emblée que la déposition soit tenue pour digne de foi et il incombe au juge du fait d'apprécier sa force probante (Heinrich Müller, in Schweizerische Zivilprozessordnung, Alexander Brunner et al., éd., n° 6 ad art. 172 CPC ; Francesco Trezzini, in Commentario al codice di diritto processuale civile svizzero, 2011, p. 746 let. d ad art. 157 CPC ).</w:t>
      </w:r>
    </w:p>
    <w:p>
      <w:r>
        <w:t>En l'espèce, l'un des témoins est l'époux de la demanderesse et l'autre est l'amie du demandeur. Il se justifie donc objectivement d'envisager une convergence d'intérêts et un esprit de solidarité entre eux et ces parties. Dans le contexte familial que celles-ci décrivent elles-mêmes, les témoins ont pu être informés par elles de l'avancement et de l'enjeu du procès, et, éventuellement, préparer d'entente avec elles leurs dépositions avant l'audience. Certes, il n'existe aucun indice concret d'une semblable collusion et les dépositions ont l'apparence de la sincérité. Il n'existe non plus, cependant, aucun indice ni commencement de preuve indépendant de ces dépositions et propres à les corroborer. Dans ces conditions, l'approche circonspecte adoptée par la Cour d'appel s'inscrit dans le pouvoir d'appréciation dont jouit le juge du fait. Cette approche échappe par conséquent au grief d'arbitraire, quoique la solution contraire retenue par le Tribunal civil fût aussi défendable et que les demandeurs ne fussent pas en mesure d'offrir d'autres preuves. Ceux-ci échouent à mettre en évidence une erreur indiscutable dans les constatations de la décision attaquée, déterminantes d'après l' art. 105 al. 1 LTF , et le Tribunal fédéral n'a donc pas lieu de s'en écarter. Une reconnaissance de la dette, lors d'un repas de famille en 2001, n'est pas établie, et la Cour d'appel a donc correctement jugé que la créance en remboursement du prêt est atteinte par la prescription.</w:t>
      </w:r>
    </w:p>
    <w:p>
      <w:r>
        <w:rPr>
          <w:b/>
        </w:rPr>
        <w:t>E. 4</w:t>
      </w:r>
    </w:p>
    <w:p>
      <w:r>
        <w:t>Le recours se révèle privé de fondement, ce qui conduit à son rejet. A titre de parties qui succombent, ses auteurs doivent acquitter l'émolument à percevoir par le Tribunal fédéral et les dépens auxquels leurs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