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180/2009 vom 20. Mai 2009</w:t>
      </w:r>
    </w:p>
    <w:p>
      <w:r>
        <w:t>Bundesgericht, 2009-05-20, FR</w:t>
      </w:r>
    </w:p>
    <w:p>
      <w:r>
        <w:rPr>
          <w:b/>
        </w:rPr>
        <w:t xml:space="preserve">Quelle: </w:t>
      </w:r>
      <w:r>
        <w:t>https://mcp.opencaselaw.ch/entscheid/bger_4A_180_2009</w:t>
      </w:r>
    </w:p>
    <w:p>
      <w:r>
        <w:t>FR: TF 4A 180/2009 du 20 mai 2009</w:t>
      </w:r>
    </w:p>
    <w:p>
      <w:r>
        <w:t>IT: TF 4A 180/2009 del 20 maggio 2009</w:t>
      </w:r>
    </w:p>
    <w:p>
      <w:pPr>
        <w:pStyle w:val="Heading2"/>
      </w:pPr>
      <w:r>
        <w:t>Regeste</w:t>
      </w:r>
    </w:p>
    <w:p>
      <w:r>
        <w:t>responsabilité du mandataire | Droit des contrats</w:t>
      </w:r>
    </w:p>
    <w:p>
      <w:pPr>
        <w:pStyle w:val="Heading2"/>
      </w:pPr>
      <w:r>
        <w:t>Erwägungen</w:t>
      </w:r>
    </w:p>
    <w:p>
      <w:r>
        <w:rPr>
          <w:b/>
        </w:rPr>
        <w:t>E. 1</w:t>
      </w:r>
    </w:p>
    <w:p>
      <w:r>
        <w:t>Le recours, non intitulé, sera traité comme un recours en matière civile ( art. 72 ss LTF ), dans la mesure où la valeur litigieuse atteint, en l'espèce, le seuil de 30'000 fr. fixé à l' art. 74 al. 1 let. b LTF pour la recevabilité d'un tel recours.</w:t>
      </w:r>
    </w:p>
    <w:p>
      <w:r>
        <w:rPr>
          <w:b/>
        </w:rPr>
        <w:t>E. 2</w:t>
      </w:r>
    </w:p>
    <w:p>
      <w:r>
        <w:t>Exercé par la partie qui a succombé dans ses conclusions en paiement ( art. 76 al. 1 LTF ) et dirigé contre un arrêt final ( art. 90 LTF ) rendu en matière civile ( art. 72 al. 1 LTF ) par une autorité cantonale de dernière instance ( art. 75 LTF ), le recours est en principe recevable, puisqu'il a été déposé dans le délai ( art. 100 al. 1 LTF ) et la forme ( art. 42 LTF ) prévus par la loi. Le recours peut être interjeté pour violation du droit, tel qu'il est délimité par les art. 95 et 96 LTF . Le Tribunal fédéral applique le droit d'office ( art. 106 al. 1 LTF ). Cependant, eu égard à l'exigence de motivation contenue à l' art. 42 al. 1 et 2 LTF , il n'examine en principe que les griefs invoqués. Il ne peut pas entrer en matière sur la violation d'un droit constitutionnel si le grief n'a pas été invoqué et motivé de manière précise par la partie recourante ( art. 106 al. 2 LTF ). 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w:t>
      </w:r>
    </w:p>
    <w:p>
      <w:r>
        <w:rPr>
          <w:b/>
        </w:rPr>
        <w:t>E. 3</w:t>
      </w:r>
    </w:p>
    <w:p>
      <w:r>
        <w:t>La recevabilité du recours soumis à l'examen du Tribunal fédéral apparaît plus que douteuse. En effet, l'écriture du recourant revêt un caractère appellatoire manifeste. Qui plus est, elle présente, pêle-mêle, des moyens de différente nature, ce qui n'est guère compatible avec l'exigence de motivation posée à l' art. 42 al. 2 LTF . Pour le reste, les rares griefs susceptibles d'y être individualisés ne peuvent qu'être rejetés, si tant est qu'ils soient recevables, pour les motifs indiqués ci-après. Le recourant consacre une grande partie de son mémoire à critiquer le comportement adopté par le bâtonnier de l'Ordre des avocats en fonction à l'époque relativement à la consignation des 35'000 fr. formant le premier point de la transaction judiciaire litigieuse. Or, cet aspect du différend n'est pas traité dans l'arrêt attaqué, sans que le recourant ne s'en plaigne de manière recevable. Le bâtonnier en question n'était d'ailleurs pas partie à la procédure au fond ayant donné lieu au prononcé de l'arrêt attaqué. Au demeurant, ce n'est pas l'intimé qui lui a transmis les 35'000 fr. précités, mais le nouveau mandataire que le recourant s'était choisi après que son premier avocat avait répudié son mandat. Invoquant l' art. 398 al. 2 CO , le recourant reproche à l'intimé de n'avoir pas déposé la demande de révision en temps utile. Cependant, la cour cantonale a jugé que la violation du mandat n'a pas eu d'incidence concrète sur la situation du mandant, étant donné qu'une telle demande aurait de toute façon dû être rejetée, même si elle avait été déposée dans le délai légal. En effet, le recourant connaissait tous les éléments du dommage dont il pouvait réclamer réparation à son ex-employeur lorsqu'il avait conclu la transaction judiciaire litigieuse. Sur ce dernier point, les juges cantonaux ont posé une constatation de fait. Or, dans son mémoire, le recourant se borne à proposer sa propre version du déroulement des faits en ce qui concerne la connaissance qu'il avait des circonstances déterminantes au moment de prendre sa décision de transiger. Il n'invoque, de surcroît, aucune violation d'un droit fondamental à ce sujet, ce qui entraîne l'irrecevabilité totale du grief considéré (cf. art. 106 al. 2 LTF ). Dans un dernier moyen, où il est question du dénommé H.________, le recourant ne formule pas de grief intelligible, et il semble que cet ultime grief concerne plutôt ses relations avec son ex-employeur qui ont déjà donné lieu à des décisions judiciaires revêtues de l'autorité de la chose jugée. Ici aussi, l'irrecevabilité du recours est patente. Enfin, le recourant use d'un procédé qui n'est pas admissible devant le Tribunal fédéral lorsqu'il indique que le mémoire de recours déposé par lui le 11 septembre 2008 devant la cour cantonale est également valable pour le contenu du recours soumis à la Cour de céans.</w:t>
      </w:r>
    </w:p>
    <w:p>
      <w:r>
        <w:rPr>
          <w:b/>
        </w:rPr>
        <w:t>E. 4</w:t>
      </w:r>
    </w:p>
    <w:p>
      <w:r>
        <w:t>En définitive, le présent recours apparaît manifestement mal fondé, si tant est qu'il soit recevable. Il y a lieu, partant, d'appliquer la procédure simplifiée prévue à l' art. 109 al. 2 let. a LTF . Le recourant, qui succombe, devra payer les frais judiciaires concernant la procédure fédérale ( art. 66 al. 1 LTF ). En revanche, il n'aura pas à verser de dépens à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