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17/2024 vom 26. August 2024</w:t>
      </w:r>
    </w:p>
    <w:p>
      <w:r>
        <w:t>Bundesgericht, 2024-08-26, FR</w:t>
      </w:r>
    </w:p>
    <w:p>
      <w:r>
        <w:rPr>
          <w:b/>
        </w:rPr>
        <w:t xml:space="preserve">Quelle: </w:t>
      </w:r>
      <w:r>
        <w:t>https://mcp.opencaselaw.ch/entscheid/bger_4A_17_2024</w:t>
      </w:r>
    </w:p>
    <w:p>
      <w:r>
        <w:t>FR: TF 4A 17/2024 du 26 août 2024</w:t>
      </w:r>
    </w:p>
    <w:p>
      <w:r>
        <w:t>IT: TF 4A 17/2024 del 26 agosto 2024</w:t>
      </w:r>
    </w:p>
    <w:p>
      <w:pPr>
        <w:pStyle w:val="Heading2"/>
      </w:pPr>
      <w:r>
        <w:t>Regeste</w:t>
      </w:r>
    </w:p>
    <w:p>
      <w:r>
        <w:t>mainlevée définitive, | Droit des poursuites et faillites</w:t>
      </w:r>
    </w:p>
    <w:p>
      <w:pPr>
        <w:pStyle w:val="Heading2"/>
      </w:pPr>
      <w:r>
        <w:t>Erwägungen</w:t>
      </w:r>
    </w:p>
    <w:p>
      <w:r>
        <w:rPr>
          <w:b/>
        </w:rPr>
        <w:t>E. 1</w:t>
      </w:r>
    </w:p>
    <w:p>
      <w:r>
        <w:t>Interjeté dans le délai fixé par la loi ( art. 100 al. 1 et art. 46 al. 1 let . c LTF) par la poursuivie, qui a succombé dans ses conclusions ( art. 76 al. 1 LTF ), et dirigé contre une décision finale ( art. 90 LTF ) rendue sur recours par le tribunal supérieur du canton de Vaud ( art. 75 LTF ) dans une affaire en matière de poursuite pour dettes et de faillite ( art. 72 al. 2 let. a LTF ) dont la valeur litigieuse dépasse 30'000 fr. ( art. 74 al. 1 let. b LTF ; arrêt 5A_941/2021 du 5 juillet 2023 consid. 2 et les références citées),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3</w:t>
      </w:r>
    </w:p>
    <w:p>
      <w:r>
        <w:t>Le recourant reproche à la cour cantonale d'avoir déclaré irrecevables quatre des cinq griefs qu'il avait soulevés dans son recours cantonal.</w:t>
      </w:r>
    </w:p>
    <w:p>
      <w:r>
        <w:rPr>
          <w:b/>
        </w:rPr>
        <w:t>E. 3.1</w:t>
      </w:r>
    </w:p>
    <w:p>
      <w:r>
        <w:t>Selon l' art. 321 al. 1 CPC , le recours doit être introduit par un acte écrit et motivé. La motivation d'un recours doit, à tout le moins, satisfaire aux exigences qui sont posées pour un acte d'appel ( art. 311 al. 1 CPC ; arrêts 4A_462/2022 du 6 mars 2023 consid. 5.1.1; 5A_206/2016 du 1er juin 2016 consid. 4.2.1). Il résulte de la jurisprudence relative à l' 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141 III 569 consid. 2.3.3; 138 III 374 consid. 4.3.1).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À défaut, son appel est irrecevable (arrêts 4A_462/2022 précité consid. 5.1.1; 4A_621/2021 du 30 août 2022 consid. 3.1; 4A_624/2021 du 8 avril 2022 consid. 5.1).</w:t>
      </w:r>
    </w:p>
    <w:p>
      <w:r>
        <w:rPr>
          <w:b/>
        </w:rPr>
        <w:t>E. 3.2</w:t>
      </w:r>
    </w:p>
    <w:p>
      <w:r>
        <w:t>La Juge de paix a considéré qu'à la lecture des art. 98 CPC et 3 al. 1 du Tarif des frais judiciaires civils du canton de Vaud du 28 septembre 2010 (TFJC/VD; RS/VD 270.11.5), il apparaissait clairement que les autorités judiciaires, respectivement le tribunal chargé de statuer dans la cause dont il est question, sont créancières des sûretés en garantie des frais de justice. Dès lors que la décision du 25 janvier 2022 avait été rendue par le Juge délégué, elle a considéré que le créancier du montant de l'avance de frais litigieuse ne pouvait être que le Tribunal cantonal, respectivement son greffe, et que cela prêtait d'autant moins à discussion que la partie poursuivie s'était déjà acquittée, en faveur de celui-ci, d'un acompte de 10'000 fr. Partant, elle a retenu que les conditions pour prononcer la mainlevée définitive de l'opposition étaient réalisées.</w:t>
      </w:r>
    </w:p>
    <w:p>
      <w:r>
        <w:rPr>
          <w:b/>
        </w:rPr>
        <w:t>E. 3.3</w:t>
      </w:r>
    </w:p>
    <w:p>
      <w:r>
        <w:t>La cour cantonale a retenu que, parmi les cinq arguments invoqués par la poursuivie, seul le dernier se référait à la motivation de la décision de première instance en ce qu'il critiquait la prise en compte par la Juge de paix de l'acompte de 10'000 fr. que la poursuivie contestait avoir versé. Elle a constaté que les quatre autres griefs n'étaient que des reprises, souvent littérales, des écritures que la poursuivie avait déposées en première instance et considéré que la poursuivie n'avait pas tenté de démontrer le caractère erroné du raisonnement tenu par la première juge, de sorte que le recours cantonal était, dans cette mesure, irrecevable.</w:t>
      </w:r>
    </w:p>
    <w:p>
      <w:r>
        <w:rPr>
          <w:b/>
        </w:rPr>
        <w:t>E. 3.4</w:t>
      </w:r>
    </w:p>
    <w:p>
      <w:r>
        <w:t>La recourante invoque que la cour cantonale a " dout[é] de la recevabilité matérielle du recours [...] au motif que les arguments invoqués dans le recours l'auraient déjà été pour quatre sur cinq d'entre eux dans la procédure de mainlevée devant le Juge de paix ". Elle estime que ce raisonnement est erroné, dans la mesure où il conduirait alors à l'irrecevabilité de presque tous les recours. Il allègue par ailleurs que les arguments étaient clairement invoqués contre le prononcé de mainlevée, et que la cour cantonale l'aurait parfaitement compris, dès lors qu'elle aurait répondu à l'ensemble des arguments et aurait donc considéré la motivation du recours cantonal comme suffisante pour pouvoir répondre en détail auxdits arguments.</w:t>
      </w:r>
    </w:p>
    <w:p>
      <w:r>
        <w:rPr>
          <w:b/>
        </w:rPr>
        <w:t>E. 3.5</w:t>
      </w:r>
    </w:p>
    <w:p>
      <w:r>
        <w:t>La recourante perd de vue que la cour cantonale ne lui a pas reproché d'avoir soulevé des griefs qu'elle avait déjà invoqués en première instance ou d'avoir fait valoir des griefs qui auraient été insuffisamment motivés ou qui n'auraient pas été dirigés contre la décision de première instance, mais de ne pas s'en être prise à la motivation de la décision de la Juge de paix. Force est donc de constater qu'à nouveau, la recourante ne s'en prend pas à la motivation de l'instance précédente, de sorte que sa critique est irrecevable ( art. 42 al. 2 LTF ). Au vu du principe de l'épuisement des griefs (cf. arrêt 4A_148/2022 du 21 décembre 2022 consid. 4.1 et les arrêts cités) et du fait que la recourante n'a pas établi que les quatre griefs litigieux auraient dû être considérés comme recevables par la cour cantonale, lesdits griefs ne sont pas non plus recevables devant le Tribunal fédéral.</w:t>
      </w:r>
    </w:p>
    <w:p>
      <w:r>
        <w:rPr>
          <w:b/>
        </w:rPr>
        <w:t>E. 3.6</w:t>
      </w:r>
    </w:p>
    <w:p>
      <w:r>
        <w:t>Seul demeure donc en principe recevable le cinquième et dernier grief soulevé par la recourante devant la cour cantonale, soit celui relatif à la prise en compte par la Juge de paix de l'acompte litigieux de 10'000 fr. Dans la mesure toutefois où la première juge n'a tenu compte dudit acompte que pour confirmer le résultat auquel elle était parvenue, ce qu'a du reste relevé la cour cantonale, et où la recourante n'invoque ni n'établit que cet élément pourrait être à lui seul décisif, la recourante ne s'en est pas valablement prise à la motivation des instances précédentes. Ledit grief est donc également irrecevable ( art. 42 al. 2 LTF ).</w:t>
      </w:r>
    </w:p>
    <w:p>
      <w:r>
        <w:rPr>
          <w:b/>
        </w:rPr>
        <w:t>E. 4</w:t>
      </w:r>
    </w:p>
    <w:p>
      <w:r>
        <w:t>Au vu de ce qui précède, le recours doit être déclaré irrecevable. Les frais judiciaires seront mis à la charge de la recourante, qui succombe ( art. 66 al. 1 LTF ). Dès lors que l'intimé a obtenu gain de cause dans l'exercice de ses attributions officielles, il ne lui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