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17/2011 vom 14. März 2011</w:t>
      </w:r>
    </w:p>
    <w:p>
      <w:r>
        <w:t>Bundesgericht, 2011-03-14, FR</w:t>
      </w:r>
    </w:p>
    <w:p>
      <w:r>
        <w:rPr>
          <w:b/>
        </w:rPr>
        <w:t xml:space="preserve">Quelle: </w:t>
      </w:r>
      <w:r>
        <w:t>https://mcp.opencaselaw.ch/entscheid/bger_4A_17_2011</w:t>
      </w:r>
    </w:p>
    <w:p>
      <w:r>
        <w:t>FR: TF 4A 17/2011 du 14 mars 2011</w:t>
      </w:r>
    </w:p>
    <w:p>
      <w:r>
        <w:t>IT: TF 4A 17/2011 del 14 marzo 2011</w:t>
      </w:r>
    </w:p>
    <w:p>
      <w:pPr>
        <w:pStyle w:val="Heading2"/>
      </w:pPr>
      <w:r>
        <w:t>Regeste</w:t>
      </w:r>
    </w:p>
    <w:p>
      <w:r>
        <w:t>contrat d'assurance; vol | Droit des contrats</w:t>
      </w:r>
    </w:p>
    <w:p>
      <w:pPr>
        <w:pStyle w:val="Heading2"/>
      </w:pPr>
      <w:r>
        <w:t>Erwägungen</w:t>
      </w:r>
    </w:p>
    <w:p>
      <w:r>
        <w:rPr>
          <w:b/>
        </w:rPr>
        <w:t>E. 1</w:t>
      </w:r>
    </w:p>
    <w:p>
      <w:r>
        <w:t>Le recours doit être succinctement motivé ( art. 42 al. 2 LTF ), ce qui suppose que le recourant discute au moins brièvement les considérants de l'arrêt attaqué ( ATF 134 II 244 consid. 2.1); cette exigence est une condition de recevabilité (cf. art. 108 al. 1 let. b LTF ). Le Tribunal fédéral n'examine donc en principe que les griefs invoqués et suffisamment motivés ( ATF 134 II 244 consid. 2.1; 133 III 545 consid. 2.2). La règle est absolue pour les griefs constitutionnels qui doivent être expressément invoqués et motivés ( art. 106 al. 2 LTF ); pour ces moyens, l'acte de recours doit, sous peine d'irrecevabilité, nécessairement contenir un exposé succinct des droits ou principes constitutionnels violés et exposer de manière claire et circonstanciée en quoi consiste leur violation ( ATF 134 I 83 consid. 3.2). Le Tribunal fédéral statue sur la base des faits établis par l'autorité précédente ( art. 105 al. 1 LTF ); en tant que cour suprême, il est instance de révision du droit (Message du 28 février 2001 concernant la révision totale de l'organisation judiciaire fédérale, ch. 4.1.4.2 ad art. 92, FF 2001 4135). Il peut certes rectifier ou compléter les faits s'ils ont été établis de façon manifestement inexacte, notion qui correspond à l'arbitraire, ou en violation du droit au sens de l' art. 95 LTF , ce pour autant que la correction soit susceptible d'influer sur le sort de la cause ( art. 97 al. 1 et art. 105 al. 2 LTF ). Cette exception à la règle selon laquelle le Tribunal fédéral ne revoit pas les faits ne permet toutefois pas aux parties de rediscuter dans leurs mémoires les faits de la cause comme si elles plaidaient devant un juge d'appel. La partie recourante qui entend faire rectifier ou compléter un fait doit expliquer de manière circonstanciée en quoi les conditions pour le faire seraient réalisées; dans la mesure où le grief implique d'établir la violation d'un droit constitutionnel tel que l'interdiction de l'arbitraire, les exigences de motivation sont celles de l' art. 106 al. 2 LTF ( ATF 133 II 249 consid. 1.4.3). En matière d'appréciation des preuves et d'établissement des faits, il n'y a arbitraire que si le juge n'a manifestement pas compris le sens et la portée d'un moyen de preuve, si, sur la base des éléments recueillis, il a fait des déductions insoutenables, ou encore s'il a omis, sans raison sérieuse, de tenir compte d'un moyen important propre à modifier la décision attaquée ( ATF 129 I 8 consid. 2.1). En l'espèce, la Chambre civile a constaté que le recourant avait donné de fausses indications au sujet du kilométrage et du prix d'achat du véhicule assuré et qu'il l'avait fait dans l'intention de tromper l'intimée afin de recevoir des indemnités plus importantes que celles auxquelles il avait droit selon le contrat d'assurance. Il s'agit là de constatations de fait. Le recourant reproche à la Chambre civile uniquement d'avoir fait une mauvaise application de l' art. 40 LCA . Il ne soulève aucun grief d'ordre constitutionnel, notamment pas celui de violation de l'interdiction de l'arbitraire au sens de l' art. 9 Cst. Le recourant ne se plaint pas non plus d'une constatation des faits manifestement inexacte au sens de l' art. 105 al. 2 LTF . Le mémoire de recours ne contient d'ailleurs aucune motivation censée démontrer le caractère arbitraire, insoutenable des constatations précitées; le recourant se limite à présenter sa propre version des faits en substituant son appréciation à celle de l'autorité précédente. Il s'ensuit que les constatations de fait précitées sont acquises et lient la cour de céans.</w:t>
      </w:r>
    </w:p>
    <w:p>
      <w:r>
        <w:rPr>
          <w:b/>
        </w:rPr>
        <w:t>E. 2</w:t>
      </w:r>
    </w:p>
    <w:p>
      <w:r>
        <w:t>Sous le titre marginal "prétention frauduleuse", l' art. 40 LCA prévoit que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 art. 39 LCA , l'assureur n'est pas lié par le contrat envers l'ayant droit ( ATF 131 III 314 consid. 2.1). Il faut ainsi d'abord, d'un point de vue objectif, que la dissimulation ou la déclaration inexacte porte sur des faits qui sont propres à influencer l'existence ou l'étendue de l'obligation de l'assureur, autrement dit, que sur la base d'une déclaration correcte des faits en question, l'assureur n'ait à verser qu'une prestation moindre ou même aucune prestation (JÜRG NEF, in Basler Kommentar, Bundesgesetz über den Versicherungsvertrag, 2001, n° 16 ad art. 40 LCA ); le cas le plus fréquent en pratique est celui où l'ayant droit déclare un dommage plus étendu qu'en réalité, notamment en donnant des indications trop élevées sur le prix d'acquisition de la chose assurée (NEF, op. cit., nos 22 et 60 ad art. 40 LCA ). Il faut en outre, d'un point de vue subjectif, que l'ayant droit ait agi avec la conscience et la volonté d'induire l'assureur en erreur, sans qu'il importe qu'il soit parvenu ou non à ses fins. L'assureur peut alors refuser toute prestation, ce même si la fraude se rapporte à une partie seulement du dommage (arrêt 5C.11/2002 du 11 avril 2002 consid. 2a/bb, in JT 2002 I 531; NEF, op. cit., nos 17, 24 et 47 ad art. 40 LCA ). La Chambre civile n'a pas méconnu ces principes en retenant que l'intimée était en droit de refuser toute indemnité au recourant sur la base des faits constatés. On ne discerne aucune violation de l' art. 40 LCA .</w:t>
      </w:r>
    </w:p>
    <w:p>
      <w:r>
        <w:rPr>
          <w:b/>
        </w:rPr>
        <w:t>E. 3</w:t>
      </w:r>
    </w:p>
    <w:p>
      <w:r>
        <w:t>Le recourant succombe. Il supporte les frais et dépens de la présente procédure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