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4A_179/2020 vom 26. Mai 2020</w:t>
      </w:r>
    </w:p>
    <w:p>
      <w:r>
        <w:t>Bundesgericht, 2020-05-26, DE</w:t>
      </w:r>
    </w:p>
    <w:p>
      <w:r>
        <w:rPr>
          <w:b/>
        </w:rPr>
        <w:t xml:space="preserve">Quelle: </w:t>
      </w:r>
      <w:r>
        <w:t>https://mcp.opencaselaw.ch/entscheid/bger_4A_179_2020</w:t>
      </w:r>
    </w:p>
    <w:p>
      <w:r>
        <w:t>FR: TF 4A_179/2020 du 26 mai 2020</w:t>
      </w:r>
    </w:p>
    <w:p>
      <w:r>
        <w:t>IT: TF 4A_179/2020 del 26 maggio 2020</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In mietrechtlichen Angelegenheiten, wie hier eine vorliegt, ist die Beschwerde in Zivilsachen nur zulässig, wenn der Streitwert mindestens Fr. 15'000.-- beträgt ( Art. 74 Abs. 1 lit. a BGG ). Der Streitwert beträgt vorliegend unbestrittenermassen Fr. 2'000.--, womit die Streitwertgrenze für die Beschwerde in Zivilsachen nicht erreicht wird.</w:t>
      </w:r>
    </w:p>
    <w:p>
      <w:r>
        <w:rPr>
          <w:b/>
        </w:rPr>
        <w:t>E. 1.3</w:t>
      </w:r>
    </w:p>
    <w:p>
      <w:r>
        <w:t>Erreicht der Streitwert den massgebenden Betrag wie in casu nicht, ist die Beschwerde in Zivilsachen dennoch zulässig, wenn sich eine Rechtsfrage von grundsätzlicher Bedeutung stellt ( Art. 74 Abs. 2 lit. a BGG ).</w:t>
      </w:r>
    </w:p>
    <w:p>
      <w:r>
        <w:rPr>
          <w:b/>
        </w:rPr>
        <w:t>E. 1.4</w:t>
      </w:r>
    </w:p>
    <w:p>
      <w:r>
        <w:t>Der Begriff der Rechtsfrage von grundsätzlicher Bedeutung im Sinne von Art. 74 Abs. 2 lit. a BGG ist restriktiv auszulegen ( BGE 140 III 501 E. 1.3; 134 III 267 E. 1.2). Soweit es bei der aufgeworfenen Frage lediglich um die Anwendung von Grundsätzen der Rechtsprechung auf einen konkreten Fall geht, handelt es sich nicht um eine Rechtsfrage von grundsätzlicher Bedeutung ( BGE 140 III 501 E. 1.3; 135 III 1 E. 1.3 S. 4, 397 E. 1.2 S. 399).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140 III 501 E. 1.3).</w:t>
      </w:r>
    </w:p>
    <w:p>
      <w:r>
        <w:t>Eine neue Rechtsfrage kann vom Bundesgericht beurteilt werden, wenn dessen Entscheid für die Praxis wegleitend sein kann, namentlich, wenn von unteren Instanzen viele gleichartige Fälle zu beurteilen sein werden ( BGE 140 III 501 E. 1.3; 139 II 340 E. 4 S. 343; 135 III 1 E. 1.3 S. 4).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 BGE 139 II 340 E. 4 S. 343; Urteile 5A_172/2019 vom 13. Juni 2019 E. 1.2.3; 4A_395/2017 vom 11. Oktober 2018 E. 1.2.1; 4A_684/2015 vom 19. April 2016 E. 1.3; 4A_475/2013 vom 15. Juli 2014 E. 2, nicht publ. in BGE 140 III 404 ). Stellt sich eine Frage nur in speziellen Konstellationen, ist darzulegen, dass ein Entscheid in dieser Konstellation für die Praxis wegleitend sein kann und die Rechtsfrage nach einer höchstrichterlichen Klärung ruft. Es ist mithin aufzuzeigen, dass die dem Bundesgericht unterbreitete Konstellation keinen Einzelfall darstellt (Urteile 4A_684/2015 vom 19. April 2016 E. 1.3; 4A_290/2009 vom 12. August 2009 E. 2.2; 4A_5/2009 vom 11. März 2009 E. 2.3).</w:t>
      </w:r>
    </w:p>
    <w:p>
      <w:r>
        <w:t>Ist eine Beschwerde nur unter der Voraussetzung zulässig, dass sich eine Rechtsfrage von grundsätzlicher Bedeutung stellt, so ist in der Beschwerde auszuführen, warum diese Voraussetzung erfüllt ist ( Art. 42 Abs. 2 Satz 2 BGG ), ansonsten die Beschwerde in Zivilsachen unzulässig ist ( BGE 140 III 501 E. 1.3; 135 III 1 E. 1.3 S. 5).</w:t>
      </w:r>
    </w:p>
    <w:p>
      <w:r>
        <w:rPr>
          <w:b/>
        </w:rPr>
        <w:t>E. 1.5.1</w:t>
      </w:r>
    </w:p>
    <w:p>
      <w:r>
        <w:t>Die Beschwerdeführerin macht geltend, es stelle sich die Rechtsfrage von grundsätzlicher Bedeutung, ob der Mieter beim Aufbewahrer der Mietzinskaution in analoger Anwendung von Art. 257e Abs. 3 Satz 2 OR die Rückerstattung der nicht korrekt hinterlegten Sicherheit verlangen könne. Die Zahlung von Sicherheiten durch die Mieter sei in der Schweiz weit verbreitet. Es sei davon auszugehen, dass die absolute Mehrheit der Mieter in der Schweiz eine Sicherheit zugunsten des Vermieters leisten würden. Im Jahr 2017 habe die Schweiz 2.2 Mio. Mieterhaushalte gezählt. Die aufgeworfene Rechtsfrage sei deshalb für den überwiegenden Teil der gesamten schweizerischen Bevölkerung von Relevanz. Für die Mieter sei es von besonderer Relevanz, wie mit einer bezahlten Sicherheit umzugehen sei, die nicht auf ein Konto hinterlegt wurde, das auf den Mieter laute. Die Vermieter und die Aufbewahrer bräuchten Rechtssicherheit darüber, welche Konsequenzen ihnen bei einer nicht korrekt hinterlegten Sicherheit drohten. Auch für die Bankinstitute habe die Beantwortung der Rechtsfrage erhebliche Bedeutung, da eine Bank als Aufbewahrerin der Mietzinskaution verurteilt werden könne, die aufbewahrte Kaution an den Mieter zurückzuzahlen. Es bestehe damit ein allgemeines und dringendes Interesse, dass die Rechtsfrage höchstrichterlich geklärt werde.</w:t>
      </w:r>
    </w:p>
    <w:p>
      <w:r>
        <w:rPr>
          <w:b/>
        </w:rPr>
        <w:t>E. 1.5.2</w:t>
      </w:r>
    </w:p>
    <w:p>
      <w:r>
        <w:t>Es ist zutreffend, dass ein Grossteil der Schweizer Mieter sind und die Zahlung einer Mietzinskaution weitverbreitet ist. Das allein genügt aber noch nicht, damit es sich bei der von der Beschwerdeführerin vorgelegten Rechtsfrage um eine solche von grundsätzlicher Bedeutung handelt. Es ist davon auszugehen, dass die Mietparteien in der Schweiz in aller Regel der gesetzlichen Vorschrift von Art. 257e Abs. 1 OR folgen und die Mietzinskaution auf ein Sparkonto oder Depot hinterlegen, das auf den Namen des Mieters lautet. Demgegenüber stellt sich die von der Beschwerdeführerin aufgeworfene Frage nur dann, wenn die bezahlte Sicherheit auf ein Konto hinterlegt wurde, das entgegen der gesetzlichen Vorschrift nicht auf den Mieter lautet. Zusätzlich besteht im vorliegenden Sachverhalt die Eigenheit, dass die Kaution nicht etwa auf ein Konto der Vermieterin einbezahlt wurde, sondern auf ein Bankkonto der Beschwerdeführerin, die nicht Partei des Mietvertrages ist.</w:t>
      </w:r>
    </w:p>
    <w:p>
      <w:r>
        <w:t>Die Beschwerdeführerin, die dem Bundesgericht eine solche spezielle Konstellation als Rechtsfrage von grundsätzlicher Bedeutung unterbreiten will, hat darzutun, dass ein Entscheid des Bundesgerichts dennoch für die Praxis wegleitend sein kann und die Rechtsfrage nach einer höchstrichterlichen Klärung ruft. Inwiefern das vorliegend der Fall wäre, legt die Beschwerdeführerin nicht hinreichend dar, indem sie bloss behauptet, dass die Schweiz viele Mieter kenne, die Mietzinskaution weit verbreitet sei und ihre Frage daher für Mieter, Vermieter und Bankinstitute von Bedeutung sei. Vielmehr hätte sie aufzuzeigen gehabt, dass die vorliegende Situation kein Einzelfall darstellt und geeignet ist, die Frage auch mit Bezug auf die anderen Fälle zu klären.</w:t>
      </w:r>
    </w:p>
    <w:p>
      <w:r>
        <w:t>Die Beschwerdeführerin vermag damit nicht aufzuzeigen, dass sich eine Rechtsfrage von grundsätzlicher Bedeutung stellt.</w:t>
      </w:r>
    </w:p>
    <w:p>
      <w:r>
        <w:rPr>
          <w:b/>
        </w:rPr>
        <w:t>E. 1.6.1</w:t>
      </w:r>
    </w:p>
    <w:p>
      <w:r>
        <w:t>Die Beschwerdeführerin bringt zusätzlich vor, der durchschnittliche Mietpreis für Wohnungen in der Schweiz sei Fr. 1'319.-- netto pro Monat. Die durchschnittliche Mietzinskaution betrage damit für Wohnungen gestützt auf Art. 257e Abs. 2 OR maximal Fr. 3'957.--. In Anbetracht dieser durchschnittlichen Sicherheit sei die Wahrscheinlichkeit, dass die aufgeworfene Rechtsfrage im Rahmen einer Beschwerde in Zivilsachen beurteilt werden könne, äusserst gering. Dafür wäre ein Mietzins von monatlich Fr. 5'000.-- notwendig. Bei Geschäftsliegenschaften liege der durchschnittliche Mietpreis bei Fr. 3'148.--. Bei Geschäftsliegenschaften werde aber in der Praxis kaum das dreifache eines Mietzinses als Sicherheit verlangt, weshalb es auch bei einer Vermietung von Geschäftsräumen unrealistisch erscheine, dass der Streitwert von Fr. 15'000.-- nach Art. 74 Abs. 1 lit. a BGG erreicht werde.</w:t>
      </w:r>
    </w:p>
    <w:p>
      <w:r>
        <w:rPr>
          <w:b/>
        </w:rPr>
        <w:t>E. 1.6.2</w:t>
      </w:r>
    </w:p>
    <w:p>
      <w:r>
        <w:t>Zutreffend ist, dass das Bundesgericht für die Beurteilung der Rechtsfrage von grundsätzlicher Bedeutung berücksichtigt, ob die Streitwertgrenze im Zusammenhang mit der umstrittenen Rechtsfrage überhaupt je erreicht werden kann ( BGE 134 III 115 E. 1.2 S. 117 f., 267 E. 1.2.3 S. 271). Die Beschwerdeführerin argumentiert aber bloss mit durchschnittlichen Mietpreisen der gesamten Schweiz. Sie zeigt damit nicht rechtsgenüglich auf, dass Mietpreise über Fr. 5'000.-- und damit mögliche Mietzinskautionen für Wohnräume von über Fr. 15'000.--- ( Art. 257e Abs. 2 OR ) sehr selten und damit die Wahrscheinlichkeit äusserst gering wäre, dass die von der Beschwerdeführerin aufgeworfene Rechtsfrage dem Bundesgericht in einer Beschwerde in Zivilsachen unterbreitet werden könnte. Schon aus diesem Grund geht ihre Argumentation fehl.</w:t>
      </w:r>
    </w:p>
    <w:p>
      <w:r>
        <w:t>Darüberhinaus bedeutet alleine der Umstand, dass der Streitwert für eine Beschwerde in Zivilsachen für eine Rechtsfrage kaum erreicht werden kann, nicht zwangsläufig, dass eine Rechtsfrage von grundsätzlicher Bedeutung vorliegt, welche das Bundesgericht zu beantworten hat. Vielmehr ist auch in diesen Fällen darzulegen, dass sich eine Rechtsfrage von grundsätzlicher Bedeutung stellt (Urteil 4A_684/2015 vom 19. April 2016 E. 1.7). Dass die aufgeworfene Rechtsfrage von grundsätzlicher Bedeutung ist, vermag die Beschwerdeführerin - wie oben erwogen - nicht darzutun.</w:t>
      </w:r>
    </w:p>
    <w:p>
      <w:r>
        <w:rPr>
          <w:b/>
        </w:rPr>
        <w:t>E. 1.7</w:t>
      </w:r>
    </w:p>
    <w:p>
      <w:r>
        <w:t>Da der notwendige Streitwert nicht erreicht wird und sich auch keine Rechtsfrage von grundsätzlicher Bedeutung stellt, steht die Beschwerde in Zivilsachen nicht offen.</w:t>
      </w:r>
    </w:p>
    <w:p>
      <w:r>
        <w:rPr>
          <w:b/>
        </w:rPr>
        <w:t>E. 2</w:t>
      </w:r>
    </w:p>
    <w:p>
      <w:r>
        <w:t>Die Beschwerde ist daher als subsidiäre Verfassungsbeschwerde zu behandeln ( Art. 113 BGG ).</w:t>
      </w:r>
    </w:p>
    <w:p>
      <w:r>
        <w:rPr>
          <w:b/>
        </w:rPr>
        <w:t>E. 2.1</w:t>
      </w:r>
    </w:p>
    <w:p>
      <w:r>
        <w:t>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Beschwerdeführerin beanstandet, dass die Vorinstanz Art. 257e Abs. 3 OR fehlerhaft anwandte. Ein allfälliger Anspruch des Beschwerdegegners gegen die Beschwerdeführerin hätte nach Bereicherungsrecht gemäss Art. 62 ff. OR und nicht nach Art. 257e Abs. 3 OR beurteilt werden müssen. Aber auch gestützt auf Art. 62 ff. OR bestünde kein Anspruch des Beschwerdegegners.</w:t>
      </w:r>
    </w:p>
    <w:p>
      <w:r>
        <w:t>Bei diesen Bestimmungen des Obligationenrechts handelt es sich nicht um verfassungsmässige Rechte, sodass auf diese Ausführungen der Beschwerdeführerin im Rahmen der subsidiären Verfassungsbeschwerde nicht einzutreten ist (Erwägung 2.1). Dass die Vorinstanz die Bestimmungen willkürlich angewandt und damit Art. 9 BV verletzt hätte, macht die Beschwerdeführerin zu Recht nicht geltend.</w:t>
      </w:r>
    </w:p>
    <w:p>
      <w:r>
        <w:rPr>
          <w:b/>
        </w:rPr>
        <w:t>E. 3.2</w:t>
      </w:r>
    </w:p>
    <w:p>
      <w:r>
        <w:t>Im Übrigen moniert die Beschwerdeführerin einzig, dass die Vorinstanz gegen das Verbot überraschender Rechtsanwendung verstossen habe. Die erste Instanz habe den Anspruch des Beschwerdegegners auf das Bereicherungsrecht gestützt. In der vorinstanzlichen Vernehmlassung habe die Erstinstanz dargelegt, warum sie in ihrem Entscheid die Bestimmung von Art. 62 OR nicht ausdrücklich genannt habe. Der Beschwerdegegner habe sich im vorinstanzlichen Verfahren nicht vernehmen lassen. Sie sei daher von der analogen Anwendung von Art. 257e Abs. 3 OR auf den Sachverhalt durch die Vorinstanz überrascht worden. Indem die Vorinstanz ihr keine Möglichkeit gegeben habe, sich dazu zu äussern, habe sie ihren Anspruch auf rechtliches Gehör nach Art. 29 Abs. 2 BV verletzt.</w:t>
      </w:r>
    </w:p>
    <w:p>
      <w:r>
        <w:rPr>
          <w:b/>
        </w:rPr>
        <w:t>E. 3.3</w:t>
      </w:r>
    </w:p>
    <w:p>
      <w:r>
        <w:t>Die Parteien haben gemäss bundesgerichtlicher Rechtsprechung grundsätzlich keinen Anspruch darauf, zur rechtlichen Würdigung der durch sie in den Prozess eingeführten Tatsachen angehört zu werden ( BGE 114 Ia 97 E. 2a S. 99; 108 Ia 293 E. 4c S. 295). Eine Ausnahme besteht einzig für den Fall einer Rechtsanwendung, mit der eine Partei nicht gerechnet hat und auch nicht hat rechnen müssen ( BGE 124 I 49 E. 3c S. 52; 114 Ia 97 E. 2a S. 99).</w:t>
      </w:r>
    </w:p>
    <w:p>
      <w:r>
        <w:t>Eine solche Ausnahme liegt hier offensichtlich nicht vor. Umstritten ist in der Sache einzig die Rückerstattung der vom Beschwerdegegner einbezahlten Mietzinskaution. In einer solchen Situation musste die Beschwerdeführerin vernünftigerweise damit rechnen, dass die Vorinstanz die Anwendbarkeit der Bestimmung von Art. 257e Abs. 3 OR prüfen könnte, welche die Herausgabe der vom Mieter geleisteten Sicherheit regelt. Im Übrigen ist es auch nicht so, dass die Bestimmung von Art. 257e OR vor der Erstinstanz kein Thema gewesen wäre. Die Erstinstanz hat im Gegenteil Art. 257e OR in ihrem Entscheid zitiert und ausgeführt, dass bei nicht ordnungsgemässer Hinterlegung der Mietzinskaution der Mieter die geleistete Sicherheit jederzeit zurückfordern könne (erstinstanzlicher Entscheid E. 9). Von einer überraschenden Rechtsanwendung durch die Vorinstanz kann daher keine Rede sein.</w:t>
      </w:r>
    </w:p>
    <w:p>
      <w:r>
        <w:rPr>
          <w:b/>
        </w:rPr>
        <w:t>E. 3.4</w:t>
      </w:r>
    </w:p>
    <w:p>
      <w:r>
        <w:t>Die subsidiäre Verfassungsbeschwerde ist damit abzuweisen, soweit auf sie überhaupt eingetreten werden kann.</w:t>
      </w:r>
    </w:p>
    <w:p>
      <w:r>
        <w:rPr>
          <w:b/>
        </w:rPr>
        <w:t>E. 4</w:t>
      </w:r>
    </w:p>
    <w:p>
      <w:r>
        <w:t>Bei diesem Ausgang des Verfahrens wird die Beschwerdeführerin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