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178/2013 vom 31. Juli 2013</w:t>
      </w:r>
    </w:p>
    <w:p>
      <w:r>
        <w:t>Bundesgericht, 2013-07-31, DE</w:t>
      </w:r>
    </w:p>
    <w:p>
      <w:r>
        <w:rPr>
          <w:b/>
        </w:rPr>
        <w:t xml:space="preserve">Quelle: </w:t>
      </w:r>
      <w:r>
        <w:t>https://mcp.opencaselaw.ch/entscheid/bger_4A_178_2013</w:t>
      </w:r>
    </w:p>
    <w:p>
      <w:r>
        <w:t>FR: TF 4A 178/2013 du 31 juillet 2013</w:t>
      </w:r>
    </w:p>
    <w:p>
      <w:r>
        <w:t>IT: TF 4A 178/2013 del 31 luglio 2013</w:t>
      </w:r>
    </w:p>
    <w:p>
      <w:pPr>
        <w:pStyle w:val="Heading2"/>
      </w:pPr>
      <w:r>
        <w:t>Regeste</w:t>
      </w:r>
    </w:p>
    <w:p>
      <w:r>
        <w:t>Werkvertrag | Vertragsrecht</w:t>
      </w:r>
    </w:p>
    <w:p>
      <w:pPr>
        <w:pStyle w:val="Heading2"/>
      </w:pPr>
      <w:r>
        <w:t>Erwägungen</w:t>
      </w:r>
    </w:p>
    <w:p>
      <w:r>
        <w:rPr>
          <w:b/>
        </w:rPr>
        <w:t>E. 2</w:t>
      </w:r>
    </w:p>
    <w:p>
      <w:r>
        <w:t>In den Art. 671-673 ZGB sind die Rechtsfolgen geregelt, falls der Tatbestand erfüllt ist, dass zwischen den direkt Beteiligten keine bzw. keine vollständige vertragliche Vereinbarung über einen entgeltlichen Materialeinbau besteht und dennoch eine Verarbeitung von Baumaterial auf einem Grundstück vorgenommen wird, wobei Grundeigentümer und Materialeigentümer nicht identisch sind ( HEINZ REY, Die Grundlagen des Sachenrechts und das Eigentum, 3. Aufl. 2007, S. 131 Rz 475; ARTHUR MEYER HAYOZ, Berner Kommentar, 3. Aufl. 1964, N. 15 zu Art. 671 ZGB ; BGE 99 II 131 E. 4a S. 138). Art. 672 Abs. 1 ZGB gewährt dem Materialeigentümer einen Entschädigungsanspruch, wenn keine Trennung des Materials vom Boden stattfindet. Der Umfang der zu leistenden Entschädigung ist abhängig vom guten bzw. bösen Glauben der Beteiligten ( Art. 672 Abs. 2 und 3 ZGB ). Dabei gilt, dass der gute Glaube vermutet wird ( Art. 3 Abs. 1 ZGB ). Wer bei der Aufmerksamkeit, wie sie nach den Umständen von ihm verlangt werden darf, nicht gutgläubig sein konnte, ist nicht berechtigt, sich auf den guten Glauben zu berufen ( Art. 3 Abs. 2 ZGB ).</w:t>
      </w:r>
    </w:p>
    <w:p>
      <w:r>
        <w:rPr>
          <w:b/>
        </w:rPr>
        <w:t>E. 2.1</w:t>
      </w:r>
    </w:p>
    <w:p>
      <w:r>
        <w:t>Die Vorinstanz qualifizierte beide Parteien als gutgläubig. Guter Glaube bestehe, wenn trotz eines Rechtsmangels das Unrechtsbewusstsein fehle. Beim Bauen auf fremdem Boden sei das Fehlen des Unrechtsbewusstsein und damit Gutgläubigkeit auch beim Materialeigentümer anzunehmen, der wisse, dass er auf fremdem Boden baue, indessen - weil er an das Einverständnis des Grundeigentümers glaube - gleichwohl nicht im Bewusstsein handle, etwas Unredliches zu tun. Die Klägerin habe es zwar unterlassen, sich bei der Beklagten sorgfältig nach dem Bestand der Nachtragsofferte zu erkundigen. Deshalb habe sie nach den für die Annahme einer Offerte massgebenden objektivierten Umständen nicht davon ausgehen dürfen, dass die Nachtragsofferte von der Beklagten angenommen worden sei. Sie habe aber trotzdem an das Einverständnis der Beklagten geglaubt und die Nachtragsofferte ausgeführt. Daher könne ihr der gute Glauben gemäss Art. 672 ZGB nicht abgesprochen werden. Die Vorinstanz ging sodann davon aus, die Vermögenseinbusse der Klägerin entspreche dem noch ausstehenden Teilbetrag ihrer Werklohnforderung und in Ermangelung substanziierter Bestreitungen seitens der Beklagten sei davon auszugehen, dass der ausstehende Werklohn auch dem von der Klägerin geschaffenen objektiven Mehrwert entspreche.</w:t>
      </w:r>
    </w:p>
    <w:p>
      <w:r>
        <w:rPr>
          <w:b/>
        </w:rPr>
        <w:t>E. 2.2</w:t>
      </w:r>
    </w:p>
    <w:p>
      <w:r>
        <w:t>Die Beschwerdeführerin bestreitet den guten Glauben der Beschwerdegegnerin. Die Beurteilung der zur Bejahung des guten Glaubens gebotenen Aufmerksamkeit ist eine Rechtsfrage ( BGE 131 III 418 E. 2.3.1 S. 421). Der Wille einer Partei und im Zusammenhang mit dem guten Glauben die Frage nach dem Unrechtsbewusstsein ist dagegen Tatfrage ( BGE 124 III 182 E. 3 S. 184; Urteil des Bundesgerichts 8C_31/2007 vom 25. September 2007 E. 3.2, nicht publ. in: BGE 133 V 640 , aber in: SVR 2008 AlV Nr. 12 S. 35). Die Rüge der Beschwerdeführerin bezieht sich auf beides, wobei sie nicht klar unterscheidet.</w:t>
      </w:r>
    </w:p>
    <w:p>
      <w:r>
        <w:rPr>
          <w:b/>
        </w:rPr>
        <w:t>E. 2.2.1</w:t>
      </w:r>
    </w:p>
    <w:p>
      <w:r>
        <w:t>Indem die Vorinstanz darlegte, die Klägerin habe an das Einverständnis der Beklagten geglaubt und kein Unrechtsbewusstsein gehabt, traf sie eine tatsächliche Feststellung. Die Beschwerdeführerin müsste daher substanziiert darlegen, dass diese Feststellung willkürlich ist (vgl. E. 1.4 hiervor). Sie führt aber nur aus, es sei unerfindlich und erschliesse sich aus dem Urteil in keiner Weise, wie die Vorinstanz habe annehmen können, die Beschwerdegegnerin habe trotz fehlender Genehmigung an das Einverständnis der Beschwerdeführerin geglaubt. Sollte sie dies allein aus der Tatsache der (angeblichen) tatsächlichen Ausführung der Arbeiten abgeleitet haben, wäre dies jedenfalls unzulässig, da dadurch das Erfordernis des guten Glaubens vollständig ausgehöhlt werde. Es ist keineswegs willkürlich, wenn die Vorinstanz einerseits der Beklagten nicht gestützt auf das Vertrauensprinzip eine Genehmigung der Nachtragsofferte zurechnete, gleichzeitig aus der tatsächlichen Ausführung der Arbeiten aber schloss, die Klägerin sei sich des fehlenden Einverständnisses nicht bewusst gewesen. Soweit die Beschwerdeführerin mit dem von ihr in Klammern gesetzten Ausdruck "angeblich" die tatsächliche Ausführung der Arbeiten bestreiten will, ist nicht weiter darauf einzugehen, denn dies wäre eine ungenügende Rüge (vgl. E. 1.4 hiervor) der entsprechenden tatsächlichen Feststellungen der Vorinstanz.</w:t>
      </w:r>
    </w:p>
    <w:p>
      <w:r>
        <w:rPr>
          <w:b/>
        </w:rPr>
        <w:t>E. 2.2.2</w:t>
      </w:r>
    </w:p>
    <w:p>
      <w:r>
        <w:t>Sodann rügt die Beschwerdeführerin, dass die Beschwerdegegnerin bei gebührender Aufmerksamkeit ( Art. 3 Abs. 2 ZGB ) hätte wissen müssen, dass das Einverständnis der Beschwerdeführerin nicht vorlag. Die Vorinstanz habe im Zusammenhang mit der (vertraglichen) Genehmigung richtigerweise bemerkt, die Beschwerdegegnerin hätte insistieren müssen, nachdem sie trotz Rückfrage zu ihrer Nachtragsofferte keine ausdrückliche Genehmigung von Seiten der Beschwerdeführerin erhalten habe. Sie hätte die Arbeit einstellen und nach den Gründen der Nichtunterzeichnung fragen müssen. Als professionelle Gipserunternehmung habe sie bei der Aufmerksamkeit, wie sie nach den Umständen von ihr verlangt werden durfte, nicht gutgläubig sein können. Die Vorinstanz stützte sich hinsichtlich der gebotenen Aufmerksamkeit auf BGE 95 II 221 E. 2c S. 227, wo das Bundesgericht bei der blossen Unterlassung sorgfältiger Erkundigungen des bauenden Unternehmers über den Bestand eines Vertrages mit dem Grundeigentümer festgehalten habe, der gute Glaube sei insbesondere bei Anwendung der Art. 672 und 673 ZGB immer dann gelten zu lassen, wenn unredliches, moralisch verwerfliches Handeln ausgeschlossen erscheine. Die Konstellation hier sei vergleichbar mit jener im zitierten Entscheid des Bundesgerichts. Anhaltspunkte für ein unredliches, moralisch verwerfliches Handeln der Klägerin fehlten. Zwar kann der Vorinstanz nicht beigepflichtet werden, dass eine vergleichbare Konstellation wie die in BGE 95 II 221 E. 2c S. 227 beurteilte vorliegt, da anders als dort zwischen Unternehmerin und Grundeigentümerin eine vertragliche Beziehung besteht und nur die hier umstrittenen Leistungen mangels Genehmigung der Nachtragsofferte vom Vertrag nicht erfasst werden. Im heute zu beurteilenden Fall bestand zwischen den Parteien Kontakt. Die Beschwerdeführerin leitet die fehlende Gutgläubigkeit ja gerade daraus ab, dass die Beschwerdegegnerin angesichts des Ausbleibens einer Reaktion auf ihre Nachtragsofferte nicht gutgläubig sein konnte. Indessen ist trotz dieser unterschiedlichen Ausgangslage mit der Vorinstanz der gute Glauben zu bejahen. Geht man aufgrund der verbindlichen Feststellung der Vorinstanz davon aus, die Beschwerdegegnerin habe in tatsächlicher Hinsicht an das Einverständnis der Beschwerdeführerin geglaubt (vgl. E. 2.2.1 hiervor), bestehen in der Tat keine Anhaltspunkte, die auf ein unredliches, moralisch verwerfliches ( Art. 3 und Art. 672 Abs. 3 ZGB ; vgl. schon BGE 57 II 253 E. 2 S. 256) oder gar arglistiges und rechtsmissbräuchliches (vgl. BGE 95 II 221 E. 2c S. 227; Art. 2 ZGB ) Verhalten schliessen liessen.</w:t>
      </w:r>
    </w:p>
    <w:p>
      <w:r>
        <w:rPr>
          <w:b/>
        </w:rPr>
        <w:t>E. 2.2.3</w:t>
      </w:r>
    </w:p>
    <w:p>
      <w:r>
        <w:t>Der gute Glaube der Beschwerdeführerin ist nicht strittig. Mit der Vorinstanz ist somit davon auszugehen, dass beide Parteien gutgläubig waren.</w:t>
      </w:r>
    </w:p>
    <w:p>
      <w:r>
        <w:rPr>
          <w:b/>
        </w:rPr>
        <w:t>E. 2.3</w:t>
      </w:r>
    </w:p>
    <w:p>
      <w:r>
        <w:t>Weiter rügt die Beschwerdeführerin den Umfang der zugesprochenen Entschädigung.</w:t>
      </w:r>
    </w:p>
    <w:p>
      <w:r>
        <w:rPr>
          <w:b/>
        </w:rPr>
        <w:t>E. 2.3.1</w:t>
      </w:r>
    </w:p>
    <w:p>
      <w:r>
        <w:t>Die Rechtsprechung geht bei Gutgläubigkeit beider Parteien in Analogie zu Art. 62 OR davon aus, der Materialeigentümer könne den Ersatz seiner Vermögenseinbusse (der ihm höchstens zukommt) nur insoweit verlangen, als der Grundeigentümer bereichert sei. Das bedeutet für den Ersatzanspruch des gutgläubigen Materialeigentümers gegen den gutgläubigen Grundeigentümer, dass dieser jenem den Wert des verwendeten Materials und gegebenenfalls der Arbeit nur dann voll zu ersetzen hat, wenn sich der objektive Wert des Grundstücks und damit das Vermögen des Grundeigentümers um den gleichen Betrag erhöht hat; ist der entstandene Vermögenszuwachs geringer, so beschränkt sich der Ersatzanspruch auf diesen Zuwachs ( BGE 99 II 131 E. 6c S. 145 f.).</w:t>
      </w:r>
    </w:p>
    <w:p>
      <w:r>
        <w:rPr>
          <w:b/>
        </w:rPr>
        <w:t>E. 2.3.2</w:t>
      </w:r>
    </w:p>
    <w:p>
      <w:r>
        <w:t>Die Beschwerdeführerin macht geltend, die Vorinstanz hätte nicht einfach den gesamten Forderungsbetrag in der Höhe der restlichen Werklohnforderung zusprechen dürfen. Im Gegensatz zum Anspruch bei einer vertraglichen Grundlage habe der Materialeigentümer im besten Fall Anspruch auf Ersatz von Material und Arbeit, nicht aber des Gewinnanteils. Dementsprechend habe sich die Vorinstanz in keiner Weise mit der Frage auseinandergesetzt, ob der von der Klägerin geschaffene objektive Mehrwert des Baugrundstücks dem von der Beschwerdegegnerin beanspruchten Werklohn entspreche. Auch die Beschwerdegegnerin habe in ihren Rechtsschriften hierzu nicht einmal Behauptungen aufgestellt.</w:t>
      </w:r>
    </w:p>
    <w:p>
      <w:r>
        <w:rPr>
          <w:b/>
        </w:rPr>
        <w:t>E. 2.3.3</w:t>
      </w:r>
    </w:p>
    <w:p>
      <w:r>
        <w:t>Es ist fraglich, ob die Beschwerdeführerin mit diesen pauschalen Vorbringen den Rügeerfordernissen (vgl. E. 1.3 hiervor) genügt. Aber selbst wenn dies zu bejahen wäre, könnte ihr nicht gefolgt werden. Die Vorinstanz nahm an, der ausstehende Werklohn entspreche dem objektiven Mehrwert. Dies schloss sie nicht aus einer entsprechenden Beweiswürdigung; vielmehr ging sie davon aus, die Klägerin habe Entsprechendes grundsätzlich behauptet und die Beklagte nicht substanziiert bestritten. Soweit die Beschwerdeführerin mit ihren Vorbringen eine falsche Verteilung der Behauptungs- und Bestreitungslast rügt, ist ihr Einwand nicht stichhaltig. Die Last der Prozessparteien, die Tatsachen zu behaupten, auf die das Gericht die Rechtssätze zur Anwendung bringen soll, beruht auf der Verhandlungsmaxime und damit, da das Verfahren vor Inkrafttreten der ZPO anhängig gemacht wurde, auf kantonalem Prozessrecht. Wie weit Tatsachen inhaltlich zu substanziieren sind, damit sie unter die massgeblichen Bestimmungen des materiellen Rechts subsumiert werden können, bestimmt aber das materielle Bundesrecht. Das kantonale Prozessrecht darf von den Parteien keine darüber hinausgehende Substanziierung verlangen ( BGE 108 II 337 E. 2 und 3; 133 III 153 E. 3.3 S. 162; 127 III 365 E. 2b S. 368 mit Hinweisen). Die entsprechenden Anforderungen ergeben sich einerseits aus den Tatbestandsmerkmalen der angerufenen Norm und anderseits aus dem prozessualen Verhalten der Gegenpartei. Bestreitet der Prozessgegner das an sich schlüssige Vorbringen der behauptungsbelasteten Partei, kann diese gezwungen sein, die rechtserheblichen Tatsachen nicht nur in Grundzügen, sondern so umfassend und klar darzulegen, dass darüber Beweis abgenommen werden kann. Wird das Vorliegen eines vorerst nur pauschal behaupteten Schadens vom Prozessgegner bestritten, hat der Ansprecher deshalb die einzelnen konkreten Tatsachen vorzutragen, welche Grundlage für die Qualifizierung einer Vermögenseinbusse als rechtlich relevanter Schaden bilden ( BGE 127 III 365 E. 2b S. 368 mit Hinweisen; Hans Peter Walter, Berner Kommentar, 2012, N. 186 f. zu Art. 8 ZGB ). Die Vorinstanz hat daher Bundesrecht nicht verletzt, wenn sie annahm, die Beklagte hätte substanziiert bestreiten müssen, nachdem die Klägerin ihre Forderung eventualiter auch auf Art. 671 f. ZGB abgestützt und damit einen entsprechenden ausservertraglichen Entschädigungsanspruch in gleicher Höhe behauptet hatte. Nicht nachvollziehbar ist schliesslich, weshalb ein Gewinnanteil begrifflich ausgeschlossen sein sollte. Die Unternehmerin hat zwar höchstens Anspruch auf die ihr entstandene Vermögenseinbusse (vgl. E. 2.3.1 hiervor). Sie kann aber bei entsprechendem Wertzuwachs des Grundstücks verlangen, dass ihr sowohl der Wert des verwendeten Materials als auch der Wert der mit dem Einbau verbundenen Arbeit voll ersetzt wird ( BGE 99 II 131 E. 6c S. 146). Mangels konkreter entgegenstehender Anhaltspunkte im Einzelfall entspricht dies dem, was sie anderweitig hätte verdienen können.</w:t>
      </w:r>
    </w:p>
    <w:p>
      <w:r>
        <w:rPr>
          <w:b/>
        </w:rPr>
        <w:t>E. 3</w:t>
      </w:r>
    </w:p>
    <w:p>
      <w:r>
        <w:t>Die Beklagte ist der Auffassung, die Leistungen gemäss korrigierter Schlussrechnung der Klägerin - und zwar sowohl die in Regie wie die nach Ausmass abgerechneten - seien ungenügend substanziiert.</w:t>
      </w:r>
    </w:p>
    <w:p>
      <w:r>
        <w:rPr>
          <w:b/>
        </w:rPr>
        <w:t>E. 3.1</w:t>
      </w:r>
    </w:p>
    <w:p>
      <w:r>
        <w:t>Die Vorinstanz erachtete die Substanziierung als genügend, weil die Klägerin sowohl ein von der Bauleitung unterzeichnetes Ausmass als auch von der Bauleitung unterzeichnete Regierechnungen zum integralen Bestandteil der Rechtsschrift erklärt habe. Zudem habe sie die Regiearbeiten tabellarisch zusammengestellt und in der Replik ausdrücklich darauf verwiesen, wobei sie die Zusammenstellung einzelnen Rechnungsnummern bzw. Teilen der Ausmassurkunde zugewiesen habe. Die Schlussrechnung lasse sich anhand dieser spezifischen Aktenstücke nachvollziehen. Inhaltlich seien diese Akten genügend substanziiert; es seien sowohl im Ausmass als auch in den Regierechnungen die Einzelleistungen erkennbar.</w:t>
      </w:r>
    </w:p>
    <w:p>
      <w:r>
        <w:rPr>
          <w:b/>
        </w:rPr>
        <w:t>E. 3.2</w:t>
      </w:r>
    </w:p>
    <w:p>
      <w:r>
        <w:t>Was die Beschwerdeführerin dagegen vorbringt, ist nicht geeignet, die vorinstanzliche Beurteilung in Frage zu stellen.</w:t>
      </w:r>
    </w:p>
    <w:p>
      <w:r>
        <w:rPr>
          <w:b/>
        </w:rPr>
        <w:t>E. 3.2.1</w:t>
      </w:r>
    </w:p>
    <w:p>
      <w:r>
        <w:t>Soweit es die inhaltlich genügende Bestimmtheit anbelangt, setzt sich die Beschwerdeführerin mit dem zentralen Argument der Vorinstanz, dass sowohl im Ausmass wie in den Regierechnungen Einzelleistungen erkennbar seien, nicht auseinander. Damit liegt keine genügende Rüge vor (vgl. E. 1.3 hiervor).</w:t>
      </w:r>
    </w:p>
    <w:p>
      <w:r>
        <w:rPr>
          <w:b/>
        </w:rPr>
        <w:t>E. 3.2.2</w:t>
      </w:r>
    </w:p>
    <w:p>
      <w:r>
        <w:t>Die Beschwerdeführerin rügt insbesondere, dass die Vorinstanz Verweisungen auf Rapporte und Beilagen genügen liess. Diese Rüge betrifft das kantonale Prozessrecht. Aus dem Bundesrecht ergibt sich nur, wie weit die anspruchsbegründenden Tatsachen zu substanziieren sind (vgl. E. 2.3.3 hiervor). Auf welchem Weg ein subsumptionsfähiger Sachverhalt erlangt werden soll, bestimmt dagegen das kantonale Prozessrecht. Ihm bleibt die Regelung vorbehalten, in welcher Form und bis zu welchem Zeitpunkt inhaltlich genügende Sachvorbringen in das Verfahren einzubringen sind ( BGE 127 III 365 E. 2c S. 369; 108 II 337 E. 3 S. 341; Urteil des Bundesgerichts 4A_152/2009 vom 29. Juni 2009 E. 2.1). Die Anwendung des kantonalen Prozessrechts kann vom Bundesgericht nur auf Willkür ( Art. 9 BV ) überprüft werden, wobei für die Geltendmachung von Verfassungsverletzungen das strenge Rügeprinzip ( Art. 106 Abs. 2 BGG , vgl. E. 1.3 hiervor) gilt. Diesen Anforderungen genügt die Rüge nicht. Die Beschwerdeführerin zeigt weder rechtsgenüglich auf, dass es nach dem massgebenden Prozessrecht willkürlich wäre, ein Sachverhaltselement durch einen Verweis auf ein spezifisch bestimmtes Aktenstück als hinreichend behauptet anzusehen, sofern aus dem Verweis in der Rechtsschrift selbst klar wird, welche Teile des Aktenstückes als Parteibehauptung gelten sollen, noch dass die Vorinstanz offensichtlich zu Unrecht davon ausgegangen ist, die Verweise in den Rechtsschriften erfüllten diese Anforderungen. Auf die Rüge ist nicht einzutreten ( BGE 134 II 244 E. 2.2 S. 246).</w:t>
      </w:r>
    </w:p>
    <w:p>
      <w:r>
        <w:rPr>
          <w:b/>
        </w:rPr>
        <w:t>E. 3.2.3</w:t>
      </w:r>
    </w:p>
    <w:p>
      <w:r>
        <w:t>Schliesslich bestreitet die Beschwerdeführerin, dass die Ausmasse korrekt aufgenommen worden sind; auf diese hätte daher nicht abgestellt werden dürfen. Wie die Beschwerdegegnerin zu Recht einwendet, geht es hierbei nicht um die Substanziierung, das heisst die genügende Behauptung, sondern um den Beweiswert von Aktenstücken, welche die Vorinstanz ihrer Beurteilung zugrunde legte. Die Rüge betrifft somit die Beweiswürdigung. Die Beweiswürdigung ist Tatfrage, die das Bundesgericht lediglich auf Willkür hin überprüfen kann (vgl. E. 1.4 hiervor). Willkür wird von der Beschwerdeführerin aber nicht rechtsgenüglich geltend gemacht. Die Behauptung, entgegen den anwendbaren Bestimmungen seien die Ausmasse nicht zeitgerecht, sondern verspätet aufgenommen worden, genügt nicht, um deren Berücksichtigung als willkürlich erscheinen zu lassen.</w:t>
      </w:r>
    </w:p>
    <w:p>
      <w:r>
        <w:rPr>
          <w:b/>
        </w:rPr>
        <w:t>E. 4</w:t>
      </w:r>
    </w:p>
    <w:p>
      <w:r>
        <w:t>Die Beschwerde ist abzuweisen, soweit darauf einzutreten ist.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