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177/2023 vom 12. Juni 2023</w:t>
      </w:r>
    </w:p>
    <w:p>
      <w:r>
        <w:t>Bundesgericht, 2023-06-12, FR</w:t>
      </w:r>
    </w:p>
    <w:p>
      <w:r>
        <w:rPr>
          <w:b/>
        </w:rPr>
        <w:t xml:space="preserve">Quelle: </w:t>
      </w:r>
      <w:r>
        <w:t>https://mcp.opencaselaw.ch/entscheid/bger_4A_177_2023</w:t>
      </w:r>
    </w:p>
    <w:p>
      <w:r>
        <w:t>FR: TF 4A 177/2023 du 12 juin 2023</w:t>
      </w:r>
    </w:p>
    <w:p>
      <w:r>
        <w:t>IT: TF 4A 177/2023 del 12 giugno 2023</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satisfaites, notamment à raison de la valeur litigieuse. Rien ne s'oppose donc à l'entrée en matière. Demeure toutefois réservé l'examen, sous l'angle de leur motivation, des critiques formulées par le recourant.</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(ATF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Dans son mémoire de recours, le recourant, dénonçant la violation des art. 321a et 337 du Code des obligations (CO; RS 220), reproche à la cour cantonale d'avoir admis à tort l'existence de justes motifs permettant à l'intimée de résilier immédiatement le contrat de travail pour cause de violation du devoir de fidélité. Avant d'examiner les mérites des critiques émises par l'intéressé, il convient de rappeler certains principes.</w:t>
      </w:r>
    </w:p>
    <w:p>
      <w:r>
        <w:rPr>
          <w:b/>
        </w:rPr>
        <w:t>E. 3.1.1</w:t>
      </w:r>
    </w:p>
    <w:p>
      <w:r>
        <w:t>L'employeur peut résilier immédiatement le contrat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Selon la jurisprudence, la résiliation immédiate pour " justes motifs " est une mesure exceptionnelle qui doit être admise de manière restrictive ( ATF 137 III 303 consid. 2.1.1). Seul un manquement particulièrement grave peut justifier une telle mesure ( ATF 142 III 579 consid. 4.2). Par manquement du travailleur, on entend généralement la violation d'une obligation découlant du contrat de travail, portant sur le devoir de travailler ou le devoir de fidélité, mais d'autres incidents peuvent aussi justifier une telle mesure ( ATF 137 III 303 consid. 2.1.1; 130 III 28 consid. 4.1; 129 III 380 consid. 2.2; 117 II 72 consid. 3; arrêts 4A_393/2020 du 27 janvier 2021 consid. 4.1.1; 4A_35/2017 du 31 mai 2017 consid. 4.3).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130 III 213 consid. 3.1). La résiliation doit intervenir " immédiatement ", soit après un délai de réflexion raisonnable (arrêt 4A_393/2020, précité, consid. 4.1.1 et la référence citée).</w:t>
      </w:r>
    </w:p>
    <w:p>
      <w:r>
        <w:rPr>
          <w:b/>
        </w:rPr>
        <w:t>E. 3.1.2</w:t>
      </w:r>
    </w:p>
    <w:p>
      <w:r>
        <w:t>A raison de son obligation de fidélité, le travailleur doit sauvegarder les intérêts légitimes de son employeur ( art. 321a al. 1 CO ) et par conséquent s'abstenir de tout ce qui peut lui porter préjudice économiquement ( ATF 140 V 521 consid. 7.2.1; 117 II 560 consid. 3a; arrêt 4A_297/2016 du 17 novembre 2016 consid. 4.3.1). Il ne doit pas faire concurrence à l'employeur pendant la durée du contrat ( art. 321a al. 3 CO ). L'obligation de fidélité complète l'obligation de travailler en ce sens qu'elle confère au travail un but, des objectifs: la défense des intérêts de l'employeur ( ATF 140 V 521 consid. 7.2.1). Le devoir de fidélité, sous son aspect positif, comprend un devoir d'information et de renseignements à charge du travailleur, qui l'astreint notamment à avertir l'employeur d'éventuels dommages imminents, des perturbations dans l'exécution du travail et d'autres irrégularités ou abus (arrêt 4A_297/2016, précité, consid. 4.3.1 et les références citées). Cette obligation accessoire générale vaut dans une mesure accrue pour les cadres, eu égard au crédit particulier et à la responsabilité que leur confère leur fonction dans l'entreprise de l'employeur (arrêt 4A_393/2020, précité, consid. 4.1.1 et les référence citées). Un manquement au devoir de fidélité du travailleur peut constituer un juste motif de congé (arrêt 4A_91/2021 du 19 juillet 2021 consid. 4.1). 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 ATF 138 III 67 consid. 2.3.5; 117 II 72 consid. 4). La limite entre les préparatifs admissibles et la violation du devoir de fidélité n'est pas toujours facile à tracer ( ATF 138 III 67 consid. 2.3.5).</w:t>
      </w:r>
    </w:p>
    <w:p>
      <w:r>
        <w:rPr>
          <w:b/>
        </w:rPr>
        <w:t>E. 3.1.3</w:t>
      </w:r>
    </w:p>
    <w:p>
      <w:r>
        <w:t>Déterminer les motifs du congé est une question de fait. En revanche, ressortit au droit le point de savoir si le congé est fondé sur de justes motifs (arrêt 4A_35/2017, précité, consid. 4.1 et les références citées). Le juge apprécie librement s'il existe de justes motifs ( art. 337 al. 3 CO ); il applique les règles du droit et de l'équité ( art. 4 CC ). Savoir si le comportement incriminé atteint la gravité nécessaire dépend des circonstances du cas concret ( ATF 142 III 579 consid. 4.2 et les références citées). Dans son appréciation, le juge doit notamment tenir compte de la position et de la responsabilité du travailleur, du type et de la durée des rapports contractuels, de la nature et de l'importance des manquements ( ATF 137 III 303 consid. 2.1.1; 130 III 28 consid. 4.1; 127 III 351 consid. 4a), ou encore du temps restant jusqu'à l'échéance ordinaire du contrat ( ATF 142 III 579 consid. 4.2). À cet égard, l'importance du manquement doit être d'autant plus grande que ce laps de temps est court (arrêts 4A_625/2016 du 9 mars 2017 consid. 3.2; 4C.95/2004 du 28 juin 2004 consid. 2). La position du travailleur, sa fonction et les responsabilités qui lui sont confiées peuvent entraîner un accroissement des exigences quant à sa rigueur et à sa loyauté; le comportement des cadres doit ainsi être apprécié avec une rigueur accrue en raison du crédit particulier et de la responsabilité que leur confère leur fonction dans l'entreprise ( ATF 130 III 28 consid. 4.1; 127 III 86 consid. 2c; arrêt 4A_124/2017 du 31 janvier 2018 consid. 3.1 et les références citées). 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 et les références citées; 129 III 380 consid. 2 et les références citées; 127 III 351 consid. 4a et les références citées). Il convient de préciser que,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(arrêts 4A_246/2020 du 23 juin 2020 consid. 3.3; 4A_404/2014 du 17 décembre 2014 consid. 4.1 et la référence citée).</w:t>
      </w:r>
    </w:p>
    <w:p>
      <w:r>
        <w:rPr>
          <w:b/>
        </w:rPr>
        <w:t>E. 3.2</w:t>
      </w:r>
    </w:p>
    <w:p>
      <w:r>
        <w:t>Dans l'arrêt attaqué, la cour cantonale constate que le recourant occupait une position de cadre au sein de la société intimée. De plus, il existait une certaine dépendance économique de cette dernière vis-à-vis du recourant. La juridiction cantonale relève aussi que les agissements du recourant ont eu des conséquences particulièrement graves pour l'intimée, dès lors qu'ils ont mis à mal son modèle économique basé sur la coopération entre les trois sociétés formant l'organisation dite "G.________". L'intéressé n'a du reste pas informé l'intimée des démarches entreprises par lui qui affectaient considérablement l'activité de la société. Il a ainsi gravement enfreint son devoir de fidélité à l'égard de l'intimée. Cette dernière pouvait légitimement craindre que le recourant use de son influence et de sa position au sein de la société pour détourner la clientèle, avec laquelle il avait un lien particulier, raison pour laquelle le licenciement avec immédiat était justifié. Dans ces conditions, on ne pouvait exiger de l'intimée qu'elle maintienne le contrat jusqu'à son terme.</w:t>
      </w:r>
    </w:p>
    <w:p>
      <w:r>
        <w:rPr>
          <w:b/>
        </w:rPr>
        <w:t>E. 3.3</w:t>
      </w:r>
    </w:p>
    <w:p>
      <w:r>
        <w:t>Le recourant conteste avoir enfreint son devoir de fidélité. Il fait valoir que, selon la jurisprudence, le travailleur ne viole pas son devoir de fidélité, si, envisageant avec d'autres de fonder une entreprise concurrente, il entreprend des préparatifs avant que le contrat de travail ne prenne fin, pour autant qu'il ne commence pas à concurrencer son employeur, à débaucher des employés ou à détourner de la clientèle. S'il ne conteste pas qu'il était soumis à un devoir accru de fidélité vis-à-vis de l'intimée compte tenu de la fonction qu'il assumait au sein de celle-ci, le recourant fait grief à la cour cantonale d'avoir tenu compte d'éléments non pertinents et ne relevant pas du droit travail pour circonscrire l'étendue de son devoir de fidélité. A en croire le recourant, il n'existerait aucune forme de "dépendance économique" de l'intimée à son égard et cette circonstance ne serait de toute manière pas décisive. L'intéressé prétend aussi qu'il n'était pas tenu d'informer l'intimée de ses projets professionnels futurs. Il reproche en outre à la cour cantonale d'avoir admis la validité du licenciement avec effet immédiat sur la base d'une simple conjecture, à savoir que l'intimée pouvait légitimement redouter qu'il use de son influence et de sa position pour détourner la clientèle. Il expose aussi que l'intimée aurait pu prendre une mesure moins drastique pour atteindre le même but, en le libérant par exemple de l'obligation de travailler.</w:t>
      </w:r>
    </w:p>
    <w:p>
      <w:r>
        <w:rPr>
          <w:b/>
        </w:rPr>
        <w:t>E. 3.4</w:t>
      </w:r>
    </w:p>
    <w:p>
      <w:r>
        <w:t>Tel qu'il est présenté, le grief ne saurait prospérer. Force est en effet de relever que l'argumentation développée par le recourant, qui mêle de manière inextricable les critiques relevant du fait et les arguments ressortissant au droit et qui présente de surcroît un caractère appellatoire marqué, ne permet nullement d'établir que la cour cantonale aurait outrepassé son pouvoir d'appréciation en considérant que le licenciement immédiat était en l'occurrence justifié. Il ressort, en effet, des constatations de fait de l'arrêt entrepris - qui lient le Tribunal fédéral dans la mesure où l'intéressé ne soulève pas ni ne motive un quelconque grief d'établissement arbitraire des faits - que le recourant était un cadre de l'intimée et qu'il existait une certaine dépendance économique de cette dernière vis-à-vis du recourant. Il appert également que celui-ci a créé le 31 décembre 2015, à l'insu de l'intimée, une société poursuivant un but similaire à celui de l'intimée, alors même qu'il n'avait pas encore annoncé sa démission. La cour cantonale a du reste retenu que le comportement du recourant avait eu pour effet de mettre à mal le modèle économique de l'intimée basé sur la coopération entre les trois sociétés formant l'organisation dite "G.________". Au regard de l'ensemble des circonstances, l'autorité précédente n'a ainsi pas abusé de son pouvoir d'appréciation en jugeant que le recourant, lequel occupait une fonction de cadre et était de surcroît lié par une clause de non-concurrence, avait gravement enfreint son devoir de fidélité, en préparant une activité concurrente avant de démissionner et en mettant à mal le modèle économique de l'intimée, ce qui justifiait son licenciement avec effet immédiat.</w:t>
      </w:r>
    </w:p>
    <w:p>
      <w:r>
        <w:rPr>
          <w:b/>
        </w:rPr>
        <w:t>E. 4</w:t>
      </w:r>
    </w:p>
    <w:p>
      <w:r>
        <w:t>Au vu de ce qui précède, le recours ne peut qu'être rejeté dans la mesure de sa recevabilité. Le recourant, qui succombe, prendra les frais de la procédure fédérale à sa charge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