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4A_177/2020 vom 11. Mai 2020</w:t>
      </w:r>
    </w:p>
    <w:p>
      <w:r>
        <w:t>Bundesgericht, 2020-05-11, DE</w:t>
      </w:r>
    </w:p>
    <w:p>
      <w:r>
        <w:rPr>
          <w:b/>
        </w:rPr>
        <w:t xml:space="preserve">Quelle: </w:t>
      </w:r>
      <w:r>
        <w:t>https://mcp.opencaselaw.ch/entscheid/bger_4A_177_2020</w:t>
      </w:r>
    </w:p>
    <w:p>
      <w:r>
        <w:t>FR: TF 4A_177/2020 du 11 mai 2020</w:t>
      </w:r>
    </w:p>
    <w:p>
      <w:r>
        <w:t>IT: TF 4A_177/2020 del 11 maggio 2020</w:t>
      </w:r>
    </w:p>
    <w:p>
      <w:pPr>
        <w:pStyle w:val="Heading2"/>
      </w:pPr>
      <w:r>
        <w:t>Erwägungen</w:t>
      </w:r>
    </w:p>
    <w:p>
      <w:r>
        <w:rPr>
          <w:b/>
        </w:rPr>
        <w:t>E. 1</w:t>
      </w:r>
    </w:p>
    <w:p>
      <w:r>
        <w:t>Am 13. Februar 2020 reichte die Beschwerdegegnerin am Handelsgericht des Kantons Zürich gegen die Beschwerdeführerin Klage ein. Sie beantragte zusammengefasst, die Beschwerdeführerin sei unter Strafdrohung gerichtlich zu verpflichten, ihre Firma zu ändern oder zu löschen und ihr sei zu verbieten, den Firmenbestandteil "X.________" zu führen.</w:t>
      </w:r>
    </w:p>
    <w:p>
      <w:r>
        <w:t>Mit Verfügung vom 6. April 2020 erwog das Handelsgericht, dass die Beschwerdeführerin ihre Firma geändert und die Beschwerdegegnerin bestätigt habe, dass ihr diese Änderung genüge und das Verfahren beendet werden könne. Das Rechtsschutzinteresse sei daher während des Verfahrens weggefallen. Folglich sei das Verfahren zufolge Gegenstandslosigkeit als erledigt abzuschreiben. Die Prozesskosten seien vorliegend vollumfänglich der Beschwerdeführerin aufzuerlegen. Dementsprechend schrieb das Handelsgericht das Verfahren ab und auferlegte die Kosten und Entschädigungsfolgen der Beschwerdeführerin.</w:t>
      </w:r>
    </w:p>
    <w:p>
      <w:r>
        <w:t>Dagegen erhob die Beschwerdeführerin mit Eingabe vom 16. April 2020 Beschwerde an das Bundesgericht.</w:t>
      </w:r>
    </w:p>
    <w:p>
      <w:r>
        <w:t>Auf das Einholen von Vernehmlassungen zur Beschwerde wurde verzichtet.</w:t>
      </w:r>
    </w:p>
    <w:p>
      <w:r>
        <w:rPr>
          <w:b/>
        </w:rPr>
        <w:t>E. 2</w:t>
      </w:r>
    </w:p>
    <w:p>
      <w:r>
        <w:t>Die Beschwerdeführerin verfasste ihre Beschwerde zulässigerweise auf französisch ( Art. 42 Abs. 1 BGG ). Es besteht indessen kein Grund, von der Regel von Art. 54 Abs. 1 BGG abzuweichen, wonach das Verfahren des Bundesgerichts in der Sprache des angefochtenen Entscheids (Deutsch) geführt wird und das vorliegende Urteil demnach in deutscher Sprache ergeht.</w:t>
      </w:r>
    </w:p>
    <w:p>
      <w:r>
        <w:rPr>
          <w:b/>
        </w:rPr>
        <w:t>E. 3.1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4</w:t>
      </w:r>
    </w:p>
    <w:p>
      <w:r>
        <w:t>Die Eingabe der Beschwerdeführerin erfüllt die genannten Begründungsanforderungen offensichtlich nicht. Sie kritisiert darin zwar die Kosten- und Entschädigungsfolgen im vorinstanzlichen Entscheid, ohne aber auf die Erwägungen der Vorinstanz hinreichend konkret einzugehen, geschweige denn nachvollziehbar aufzuzeigen, welche Rechte die Vorinstanz mit ihrem Entscheid inwiefern verletzt haben soll.</w:t>
      </w:r>
    </w:p>
    <w:p>
      <w:r>
        <w:t>Auf die Beschwerde ist somit mangels hinreichender Begründung nicht einzutreten ( Art. 108 Abs. 1 lit. b BGG ).</w:t>
      </w:r>
    </w:p>
    <w:p>
      <w:r>
        <w:rPr>
          <w:b/>
        </w:rPr>
        <w:t>E. 5</w:t>
      </w:r>
    </w:p>
    <w:p>
      <w:r>
        <w:t>Bei diesem Ausgang des Verfahrens sind die Gerichtskosten der Beschwerdeführerin aufzuerlegen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