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4A_176/2007 vom 29. August 2007</w:t>
      </w:r>
    </w:p>
    <w:p>
      <w:r>
        <w:t>Bundesgericht, 2007-08-29, FR</w:t>
      </w:r>
    </w:p>
    <w:p>
      <w:r>
        <w:rPr>
          <w:b/>
        </w:rPr>
        <w:t xml:space="preserve">Quelle: </w:t>
      </w:r>
      <w:r>
        <w:t>https://mcp.opencaselaw.ch/entscheid/bger_4A_176_2007</w:t>
      </w:r>
    </w:p>
    <w:p>
      <w:r>
        <w:t>FR: TF 4A_176/2007 du 29 août 2007</w:t>
      </w:r>
    </w:p>
    <w:p>
      <w:r>
        <w:t>IT: TF 4A_176/2007 del 29 agosto 2007</w:t>
      </w:r>
    </w:p>
    <w:p>
      <w:pPr>
        <w:pStyle w:val="Heading2"/>
      </w:pPr>
      <w:r>
        <w:t>Erwägungen</w:t>
      </w:r>
    </w:p>
    <w:p>
      <w:r>
        <w:rPr>
          <w:b/>
        </w:rPr>
        <w:t>E. 1</w:t>
      </w:r>
    </w:p>
    <w:p>
      <w:r>
        <w:t>Le recours est dirigé contre un jugement final ( art. 90 LTF ), rendu en matière civile ( art. 72 al. 1 LTF ) et en dernière instance cantonale ( art. 75 al. 1 LTF ). La valeur litigieuse excède le minimum légal de 15'000 fr. (art. 51 al. 1 let. a et 74 al. 1 let. a LTF). Il est formé par une partie qui a pris part à l'instance précédente et succombé dans ses conclusions ( art. 76 al. 1 LTF ). Déposé en temps utile ( art. 100 al. 1 LTF ) et dans les formes requises (art. 42 al. 1 à 3 LTF), le recours est en principe recevable.</w:t>
      </w:r>
    </w:p>
    <w:p>
      <w:r>
        <w:t>Le recours peut être exercé pour violation du droit fédéral ( art. 95 let. a LTF ). Le Tribunal fédéral applique ce droit d'office ( art. 106 al. 1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Le Tribunal fédéral ne contrôle pas d'office le respect des droits fondamentaux ( art. 106 al. 2 LTF ). Le recours n'est pas recevable pour violation du droit cantonal, hormis les droits constitutionnels cantonaux ( art. 95 let . c LTF) et certaines dispositions sans pertinence en matière civile ( art. 95 let . d LTF).</w:t>
      </w:r>
    </w:p>
    <w:p>
      <w:r>
        <w:t>Le Tribunal fédéral doit conduire son raisonnement juridique sur la base des faits constatés dans la décision attaquée ( art. 105 al. 1 LTF ). Il peut compléter ou rectifier même d'office les constatations de fait qui se révèlent manifestement inexactes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une critique qui ne satisfait pas à cette exigence est irrecevable (cf. ATF 130 I 258 consid. 1.3 p. 261/262; 125 I 492 consid. 1b p. 495).</w:t>
      </w:r>
    </w:p>
    <w:p>
      <w:r>
        <w:rPr>
          <w:b/>
        </w:rPr>
        <w:t>E. 2</w:t>
      </w:r>
    </w:p>
    <w:p>
      <w:r>
        <w:t>Invoquant l' art. 9 Cst. , le défendeur soutient qu'une substitution de partie a été autorisée arbitrairement lors de l'audience de conciliation du 31 octobre 2005, et que les actes de procédure ultérieurs sont donc nuls. Il soutient aussi que les juges ont refusé arbitrairement, et en violation de l'art. 6 al. 1 de la loi fédérale sur les fors en matière civile (LFors), d'entrer en matière sur la demande reconventionnelle.</w:t>
      </w:r>
    </w:p>
    <w:p>
      <w:r>
        <w:rPr>
          <w:b/>
        </w:rPr>
        <w:t>E. 2.1</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et il ne suffit pas non plus qu'une solution différente de celle retenue par l'autorité cantonale puisse être tenue pour également concevable ou apparaisse même préférable ( ATF 132 I 13 consid. 5.1 p. 17; 131 I 467 consid. 3.1 p. 473/474; 129 I 8 consid. 2.1 p. 9). En ce qui concerne l'appréciation des preuves et la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en tire des constatations insoutenables ( ATF 129 I 8 consid. 2.1).</w:t>
      </w:r>
    </w:p>
    <w:p>
      <w:r>
        <w:rPr>
          <w:b/>
        </w:rPr>
        <w:t>E. 2.2</w:t>
      </w:r>
    </w:p>
    <w:p>
      <w:r>
        <w:t>Le défendeur se réfère à la jurisprudence concernant la distinction à observer, en droit de procédure civile genevois, entre une rectification de la qualité d'une partie et une substitution de partie. La rectification peut s'opérer lorsqu'il n'existe aucun doute quant à l'identité de la partie concernée mais que sa désignation, dans les actes du procès, est entachée d'une erreur rédactionnelle; autrement, si l'identité est l'objet d'un doute même minime, un changement de désignation équivaut à une substitution de partie avec modification du lien d'instance, ce qui nécessite en principe l'accord de l'adverse partie ( ATF 131 I 57 consid. 2 p. 61).</w:t>
      </w:r>
    </w:p>
    <w:p>
      <w:r>
        <w:t>Le défendeur insiste sur l'intrication des affaires et de la gestion des deux sociétés X.________ SA et Y.________ SA, aux organes composés des mêmes personnes physiques et administrées dans des locaux communs. Selon ses propres déclarations, jusque dans le procès, il a ignoré que les deux désignations correspondissent à des personnes morales distinctes. A l'audience de conciliation, son conseil et représentant ne s'est pas opposé au remplacement de l'une par l'autre; en raison de cette circonstance déjà, on peut retenir sans arbitraire que le défendeur a consenti à une éventuelle substitution de partie. De toute manière, sur la base des explications reçues, la conciliatrice a pu admettre sans plus d'arbitraire que l'auteur de la requête du 10 octobre 2005 était chargé d'ouvrir action au nom de X.________ SA, et que dans ce document, il avait par erreur indiqué Y.________ SA en qualité de partie demanderesse. Dans ces conditions, la rectification est compatible avec l' art. 9 Cst.</w:t>
      </w:r>
    </w:p>
    <w:p>
      <w:r>
        <w:rPr>
          <w:b/>
        </w:rPr>
        <w:t>E. 2.3</w:t>
      </w:r>
    </w:p>
    <w:p>
      <w:r>
        <w:t>L' art. 6 al. 1 LFors prévoit qu'une demande reconventionnelle peut être portée devant le tribunal saisi de la demande principale si elle présente un lien de connexité avec cette demande-ci. Cette règle a pour but de prévenir des décisions contradictoires et de favoriser une liquidation rapide et efficace des prétentions connexes qui s'élèvent entre les mêmes parties. Un lien de connexité suffisant est reconnu lorsque des prétentions réciproques sont fondées sur le même contrat ( ATF 129 III 230 consid. 3 et 3.1 p. 232).</w:t>
      </w:r>
    </w:p>
    <w:p>
      <w:r>
        <w:t>En l'occurrence, la connexité des prétentions réciproques est indiscutable. Le droit cantonal peut cependant prévoir, sans contrevenir à la disposition précitée, qu'une demande reconventionnelle ne peut plus être introduite après que l'instance principale a atteint tel stade ou étape défini par ce droit (Franz Kellerhals et Andreas Güngerich, Gerichtsstandsgesetz, 2e éd., Berne 2005, ch. 34 p. 83; Yves Donzallaz, Commentaire de la loi fédérale sur les fors en matière civile, Berne 2001, ch. 15 p. 215). D'après l'arrêt présentement attaqué, la demande reconventionnelle est irrecevable parce que son auteur en a entièrement modifié l'objet après le jugement de première instance. Cela ne met pas en cause l' art. 6 al. 1 LFors . Le défendeur se plaint d'arbitraire mais il omet d'indiquer les règles ou principes de droit cantonal que la Cour d'appel aurait gravement méconnus; son argumentation ne satisfait donc pas aux exigences de l' art. 106 al. 2 LTF relatives à la motivation des griefs tirés de droits fondamentaux ( ATF 133 III 393 consid. 6 p. 397).</w:t>
      </w:r>
    </w:p>
    <w:p>
      <w:r>
        <w:rPr>
          <w:b/>
        </w:rPr>
        <w:t>E. 3</w:t>
      </w:r>
    </w:p>
    <w:p>
      <w:r>
        <w:t>Dans les deux instances cantonales, les juges ont retenu que l'usage de l'appartement était cédé au défendeur en exécution d'un contrat de travail et que ce même contrat, à son expiration, obligerait le défendeur à restituer les locaux. Ce point est incontesté et il n'y a pas lieu d'y revenir. Le défendeur soutient que le contrat de travail subsiste, que le transfert de Y.________ SA à X.________ SA ne s'est jamais accompli et que la résiliation déclarée par cette société-ci est donc inopérante. De cette situation, il résulterait que le défendeur est toujours en droit d'occuper son logement.</w:t>
      </w:r>
    </w:p>
    <w:p>
      <w:r>
        <w:rPr>
          <w:b/>
        </w:rPr>
        <w:t>E. 3.1</w:t>
      </w:r>
    </w:p>
    <w:p>
      <w:r>
        <w:t>La Cour d'appel constate que Y.________ SA a décidé de transférer l'ensemble de son personnel à X.________ SA et qu'elle a annoncé cette mesure par une lettre-circulaire du 22 décembre 2000. La Cour a aussi acquis la conviction que le défendeur a reçu cette lettre comme tous les autres collaborateurs. Or, le défendeur conteste l'avoir reçue et il reproche aux juges d'avoir constaté ce dernier fait alors qu'il n'en existe aucune preuve. Il se plaint d'arbitraire et il se réfère aussi à l' art. 8 CC qui répartit le fardeau de la preuve dans les contestations soumises au droit civil fédéral. Selon cette disposition, chaque plaideur doit, si la loi ne prescrit le contraire, prouver les faits qu'il allègue pour en déduire son droit. Lorsque le juge ne parvient pas à constater un fait dont dépend le droit litigieux, il doit statuer au détriment de la partie qui aurait dû prouver ce même fait ( ATF 126 III 189 consid. 2b p. 191/192; voir aussi ATF 129 III 18 consid. 2.6 p. 24; 127 III 519 consid. 2a p. 521/522).</w:t>
      </w:r>
    </w:p>
    <w:p>
      <w:r>
        <w:t>S'il est admis que le transfert des rapports de travail à X.________ SA a été voulu pour tous les collaborateurs de Y.________ SA, simultanément, et que, sous réserve d'une éventuelle anomalie, ce transfert a été exécuté de la manière décrite, il n'est pas arbitraire d'admettre également que le défendeur a reçu la circulaire comme les autres personnes concernées. Certes, le contraire est objectivement possible; il pourrait s'être produit par suite d'un oubli, d'une erreur ou d'autres circonstances fortuites. A ce sujet, le doute abstrait ou théorique subsiste inévitablement; il ne s'agit toutefois pas d'un doute sérieux et irréductible au point que, en le négligeant, la Cour soit tombée dans l'arbitraire.</w:t>
      </w:r>
    </w:p>
    <w:p>
      <w:r>
        <w:t>Le transfert était conçu comme une opération purement administrative, dépourvue de toute incidence sur les prestations à fournir ou à recevoir par les collaborateurs. Elle n'avait donc pas, dans le cours des rapports de travail, l'importance considérable que le défendeur lui attribue présentement; on observe d'ailleurs qu'à l'époque, celui-ci ne se préoccupait aucunement de l'organisation formelle du groupe auquel il apportait son activité. Dans ces conditions, contrairement à son opinion, la communication du transfert par une simple circulaire, dont la réception ne laisse guère de trace, ne saurait être tenue pour spécialement insolite. L'appréciation critiquée résiste ainsi au grief tiré de l' art. 9 Cst. ; elle se révèle aussi compatible avec l' art. 8 CC car cette règle ne régit pas l'appréciation des preuves ( ATF 131 III 222 consid. 4.3 p. 226; 129 III 18 consid. 2.6 p. 24/25) et elle n'exclut pas non plus la preuve par indices ( ATF 114 II 289 consid. 2a p. 291).</w:t>
      </w:r>
    </w:p>
    <w:p>
      <w:r>
        <w:rPr>
          <w:b/>
        </w:rPr>
        <w:t>E. 3.2</w:t>
      </w:r>
    </w:p>
    <w:p>
      <w:r>
        <w:t>Selon l' art. 333 al. 4 CO , l'employeur ne peut pas transférer à un tiers les droits découlant des rapports de travail, à moins que le contraire n'ait été convenu ou ne résulte des circonstances. Y.________ SA n'avait donc aucun droit d'imposer au défendeur le transfert de son contrat de travail à X.________ SA. Au regard de cette situation, la lettre-circulaire du 22 décembre 2000 était une simple offre, aux termes de l' art. 6 CO , de transférer le contrat de travail. Or, en raison des circonstances précitées, l'employeuse ne devait pas s'attendre à une acceptation expresse de la part des travailleurs concernés. Le défendeur n'ayant manifesté aucune opposition, l'offre doit être considérée comme acceptée tacitement par lui, conformément à cette dernière disposition, et le transfert a donc été convenu entre les parties. En conséquence, il n'est pas nécessaire d'examiner si X.________ SA peut se prévaloir - ce que le défendeur conteste - de l' art. 333 al. 1 CO relatif au transfert des rapports de travail dans le cadre d'un transfert d'entreprise.</w:t>
      </w:r>
    </w:p>
    <w:p>
      <w:r>
        <w:rPr>
          <w:b/>
        </w:rPr>
        <w:t>E. 3.3</w:t>
      </w:r>
    </w:p>
    <w:p>
      <w:r>
        <w:t>Selon une argumentation subsidiaire présentée à l'appui du recours, le transfert communiqué le 22 décembre 2000 était soumis à une condition résolutoire selon l' art. 154 CO , en ce sens que si la nouvelle employeuse exigeait un déplacement du lieu de travail, sa qualité serait retransférée à Y.________ SA. Le défendeur affirme que X.________ SA l'a licencié parce qu'il refusait de transporter son activité à .... Ce motif du licenciement n'est cependant pas constaté dans l'arrêt attaqué et, de toute manière, l'opinion relative à une condition résolutoire ne trouve aucun fondement dans les termes de la communication faite aux collaborateurs. En août 2004, la qualité d'employeuse était définitivement acquise à X.________ SA, de sorte que le congé donné par elle est pleinement opposable au défendeur. Pour le surplus, celui-ci ne conteste pas que son appartement dût être restitué au plus tard le 30 juin 2005.</w:t>
      </w:r>
    </w:p>
    <w:p>
      <w:r>
        <w:rPr>
          <w:b/>
        </w:rPr>
        <w:t>E. 4</w:t>
      </w:r>
    </w:p>
    <w:p>
      <w:r>
        <w:t>Le recours se révèle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